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FA3467C" w:rsidR="00C9238F" w:rsidRPr="00C2318A" w:rsidRDefault="00C2318A" w:rsidP="00C2318A">
            <w:pPr>
              <w:pStyle w:val="Heading1"/>
              <w:shd w:val="clear" w:color="auto" w:fill="FCFCFC"/>
              <w:spacing w:before="0" w:after="0" w:line="271" w:lineRule="auto"/>
              <w:rPr>
                <w:rFonts w:ascii="Times New Roman" w:hAnsi="Times New Roman" w:cs="Times New Roman"/>
                <w:b w:val="0"/>
                <w:color w:val="333333"/>
                <w:sz w:val="28"/>
              </w:rPr>
            </w:pPr>
            <w:r w:rsidRPr="00C2318A">
              <w:rPr>
                <w:rFonts w:ascii="Times New Roman" w:hAnsi="Times New Roman" w:cs="Times New Roman"/>
                <w:b w:val="0"/>
                <w:bCs/>
                <w:color w:val="333333"/>
                <w:sz w:val="28"/>
              </w:rPr>
              <w:t>CO</w:t>
            </w:r>
            <w:r w:rsidRPr="00C2318A">
              <w:rPr>
                <w:rFonts w:ascii="Times New Roman" w:hAnsi="Times New Roman" w:cs="Times New Roman"/>
                <w:b w:val="0"/>
                <w:bCs/>
                <w:color w:val="333333"/>
                <w:sz w:val="28"/>
                <w:vertAlign w:val="subscript"/>
              </w:rPr>
              <w:t>2</w:t>
            </w:r>
            <w:r w:rsidRPr="00C2318A">
              <w:rPr>
                <w:rFonts w:ascii="Times New Roman" w:hAnsi="Times New Roman" w:cs="Times New Roman"/>
                <w:b w:val="0"/>
                <w:bCs/>
                <w:color w:val="333333"/>
                <w:sz w:val="28"/>
              </w:rPr>
              <w:t> Discharges, Consumption of Energy, and Growth of GDP in KSA: A Pragmatic Analysis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CFEBAD0" w:rsidR="00C9238F" w:rsidRPr="005E19AD" w:rsidRDefault="00C2318A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72495">
              <w:t xml:space="preserve">Babu, M.A., </w:t>
            </w:r>
            <w:proofErr w:type="spellStart"/>
            <w:r w:rsidRPr="00672495">
              <w:t>Ahmmed</w:t>
            </w:r>
            <w:proofErr w:type="spellEnd"/>
            <w:r w:rsidRPr="00672495">
              <w:t>, M.M., Anam, S., Rahman, M.M.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A8E8152" w:rsidR="00C9238F" w:rsidRPr="005E19AD" w:rsidRDefault="000A4B0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babu</w:t>
            </w:r>
            <w:r w:rsidR="005E19AD" w:rsidRPr="005E19AD">
              <w:rPr>
                <w:rFonts w:ascii="Times New Roman" w:hAnsi="Times New Roman" w:cs="Times New Roman"/>
              </w:rPr>
              <w:t>@iub</w:t>
            </w:r>
            <w:r>
              <w:rPr>
                <w:rFonts w:ascii="Times New Roman" w:hAnsi="Times New Roman" w:cs="Times New Roman"/>
              </w:rPr>
              <w:t>at</w:t>
            </w:r>
            <w:r w:rsidR="005E19AD" w:rsidRPr="005E19AD">
              <w:rPr>
                <w:rFonts w:ascii="Times New Roman" w:hAnsi="Times New Roman" w:cs="Times New Roman"/>
              </w:rPr>
              <w:t>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4E3C6CB" w:rsidR="00C9238F" w:rsidRPr="000A4B09" w:rsidRDefault="00C2318A" w:rsidP="000A4B09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 w:rsidRPr="00CB7A1C">
              <w:rPr>
                <w:i/>
                <w:iCs/>
              </w:rPr>
              <w:t>Proceedings of International Conference on Data Analytics and Insights, ICDAI 2023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5DD18B19" w:rsidR="00010104" w:rsidRPr="005E19AD" w:rsidRDefault="000A4B0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CF9FB3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75DF5A5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7C6C374" w:rsidR="00852B20" w:rsidRPr="005E19AD" w:rsidRDefault="00C2318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Springer</w:t>
            </w:r>
            <w:r w:rsidR="009717B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B4BBF1C" w:rsidR="00852B20" w:rsidRPr="005E19AD" w:rsidRDefault="00C2318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Jul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23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0A4B09"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7E1788E" w:rsidR="00852B20" w:rsidRPr="005E19AD" w:rsidRDefault="00C2318A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2367</w:t>
            </w:r>
            <w:r w:rsidR="00D31E76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3370</w:t>
            </w:r>
            <w:r w:rsidR="00D31E7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F22944F" w:rsidR="00852B20" w:rsidRPr="00C333A6" w:rsidRDefault="00C2318A" w:rsidP="00C333A6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Segoe UI" w:hAnsi="Segoe UI" w:cs="Segoe UI"/>
                <w:color w:val="333333"/>
                <w:shd w:val="clear" w:color="auto" w:fill="FCFCFC"/>
              </w:rPr>
              <w:t>https://doi.org/10.1007/978-981-99-3878-0_58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C2DDE40" w:rsidR="00C9238F" w:rsidRPr="005E19AD" w:rsidRDefault="00C2318A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2318A">
              <w:rPr>
                <w:rFonts w:ascii="Times New Roman" w:hAnsi="Times New Roman" w:cs="Times New Roman"/>
              </w:rPr>
              <w:t>https://link.springer.com/chapter/10.1007/978-981-99-3878-0_58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59B509B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4D66F386" w14:textId="77777777" w:rsidR="00C2318A" w:rsidRPr="00C2318A" w:rsidRDefault="00C2318A" w:rsidP="00C2318A">
            <w:pPr>
              <w:shd w:val="clear" w:color="auto" w:fill="FCFCFC"/>
              <w:spacing w:after="0" w:line="240" w:lineRule="auto"/>
              <w:rPr>
                <w:rFonts w:ascii="Segoe UI" w:eastAsia="Times New Roman" w:hAnsi="Segoe UI" w:cs="Segoe UI"/>
                <w:color w:val="333333"/>
                <w:sz w:val="27"/>
                <w:szCs w:val="27"/>
              </w:rPr>
            </w:pPr>
            <w:r w:rsidRPr="00C2318A">
              <w:rPr>
                <w:rFonts w:ascii="Segoe UI" w:eastAsia="Times New Roman" w:hAnsi="Segoe UI" w:cs="Segoe UI"/>
                <w:color w:val="333333"/>
                <w:sz w:val="27"/>
                <w:szCs w:val="27"/>
              </w:rPr>
              <w:t>In this study, we inspect the consequences of energy utilization and CO</w:t>
            </w:r>
            <w:r w:rsidRPr="00C2318A">
              <w:rPr>
                <w:rFonts w:ascii="Segoe UI" w:eastAsia="Times New Roman" w:hAnsi="Segoe UI" w:cs="Segoe UI"/>
                <w:color w:val="333333"/>
                <w:sz w:val="20"/>
                <w:szCs w:val="20"/>
                <w:vertAlign w:val="subscript"/>
              </w:rPr>
              <w:t>2</w:t>
            </w:r>
            <w:r w:rsidRPr="00C2318A">
              <w:rPr>
                <w:rFonts w:ascii="Segoe UI" w:eastAsia="Times New Roman" w:hAnsi="Segoe UI" w:cs="Segoe UI"/>
                <w:color w:val="333333"/>
                <w:sz w:val="27"/>
                <w:szCs w:val="27"/>
              </w:rPr>
              <w:t> discharges on GDP growth in Kingdom of Saudi Arabia (KSA) during the period 1971–2014. The Granger causality test is employed to assess the short-run and long-run relationships among these variables. The result shows that a strong bi-directional association between utilization of energy and financial growth at the 5% level of significance in KSA. The other variables have independent relationships to each other. The results of our experiments clearly indicate that consumption of energy performs a noteworthy role in the basis of GDP growth in KSA. The Kingdom of Saudi Arabia could improve GDP growth by increasing energy consumption but reducing CO</w:t>
            </w:r>
            <w:r w:rsidRPr="00C2318A">
              <w:rPr>
                <w:rFonts w:ascii="Segoe UI" w:eastAsia="Times New Roman" w:hAnsi="Segoe UI" w:cs="Segoe UI"/>
                <w:color w:val="333333"/>
                <w:sz w:val="20"/>
                <w:szCs w:val="20"/>
                <w:vertAlign w:val="subscript"/>
              </w:rPr>
              <w:t>2</w:t>
            </w:r>
            <w:r w:rsidRPr="00C2318A">
              <w:rPr>
                <w:rFonts w:ascii="Segoe UI" w:eastAsia="Times New Roman" w:hAnsi="Segoe UI" w:cs="Segoe UI"/>
                <w:color w:val="333333"/>
                <w:sz w:val="27"/>
                <w:szCs w:val="27"/>
              </w:rPr>
              <w:t> emissions.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5FEAA" w14:textId="77777777" w:rsidR="00672D88" w:rsidRDefault="00672D88" w:rsidP="00C9238F">
      <w:pPr>
        <w:spacing w:after="0" w:line="240" w:lineRule="auto"/>
      </w:pPr>
      <w:r>
        <w:separator/>
      </w:r>
    </w:p>
  </w:endnote>
  <w:endnote w:type="continuationSeparator" w:id="0">
    <w:p w14:paraId="2EB1B8BA" w14:textId="77777777" w:rsidR="00672D88" w:rsidRDefault="00672D8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2ED270-9BF2-453A-9AA4-7D923C6FB1C5}"/>
    <w:embedBold r:id="rId2" w:fontKey="{E8E29A69-9EFE-400C-A585-EA6F9AB8ECB1}"/>
    <w:embedItalic r:id="rId3" w:fontKey="{48B10971-54B7-4F0B-A544-72FE4AEA41B9}"/>
    <w:embedBoldItalic r:id="rId4" w:fontKey="{D266E019-662D-409F-B2F3-19B103D0CEF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1A9DC78-DE38-4390-A270-2ABC3E7C0D55}"/>
    <w:embedBold r:id="rId6" w:fontKey="{0D23790D-4020-4FEB-91FE-C5A9B004F669}"/>
    <w:embedItalic r:id="rId7" w:fontKey="{6F084A4A-BF31-40C9-99CE-2C3C2B7FC9D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AA67639F-1AE6-4AB8-81D5-21EB9B3D5C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10B85F2-3E17-4439-80E7-E77C366524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3B466" w14:textId="77777777" w:rsidR="00672D88" w:rsidRDefault="00672D88" w:rsidP="00C9238F">
      <w:pPr>
        <w:spacing w:after="0" w:line="240" w:lineRule="auto"/>
      </w:pPr>
      <w:r>
        <w:separator/>
      </w:r>
    </w:p>
  </w:footnote>
  <w:footnote w:type="continuationSeparator" w:id="0">
    <w:p w14:paraId="03A5D2D3" w14:textId="77777777" w:rsidR="00672D88" w:rsidRDefault="00672D8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3F02037"/>
    <w:multiLevelType w:val="hybridMultilevel"/>
    <w:tmpl w:val="98B8348E"/>
    <w:lvl w:ilvl="0" w:tplc="A8D2ED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11755787">
    <w:abstractNumId w:val="13"/>
  </w:num>
  <w:num w:numId="2" w16cid:durableId="1446149501">
    <w:abstractNumId w:val="9"/>
  </w:num>
  <w:num w:numId="3" w16cid:durableId="1205291873">
    <w:abstractNumId w:val="17"/>
  </w:num>
  <w:num w:numId="4" w16cid:durableId="1188372444">
    <w:abstractNumId w:val="14"/>
  </w:num>
  <w:num w:numId="5" w16cid:durableId="574440328">
    <w:abstractNumId w:val="15"/>
  </w:num>
  <w:num w:numId="6" w16cid:durableId="2125341350">
    <w:abstractNumId w:val="21"/>
  </w:num>
  <w:num w:numId="7" w16cid:durableId="2129816566">
    <w:abstractNumId w:val="8"/>
  </w:num>
  <w:num w:numId="8" w16cid:durableId="1116175940">
    <w:abstractNumId w:val="12"/>
  </w:num>
  <w:num w:numId="9" w16cid:durableId="672728058">
    <w:abstractNumId w:val="19"/>
  </w:num>
  <w:num w:numId="10" w16cid:durableId="1001665762">
    <w:abstractNumId w:val="3"/>
  </w:num>
  <w:num w:numId="11" w16cid:durableId="1982493449">
    <w:abstractNumId w:val="7"/>
  </w:num>
  <w:num w:numId="12" w16cid:durableId="729812383">
    <w:abstractNumId w:val="1"/>
  </w:num>
  <w:num w:numId="13" w16cid:durableId="1038899062">
    <w:abstractNumId w:val="4"/>
  </w:num>
  <w:num w:numId="14" w16cid:durableId="657345968">
    <w:abstractNumId w:val="11"/>
  </w:num>
  <w:num w:numId="15" w16cid:durableId="1118451699">
    <w:abstractNumId w:val="10"/>
  </w:num>
  <w:num w:numId="16" w16cid:durableId="365983057">
    <w:abstractNumId w:val="18"/>
  </w:num>
  <w:num w:numId="17" w16cid:durableId="944653278">
    <w:abstractNumId w:val="5"/>
  </w:num>
  <w:num w:numId="18" w16cid:durableId="704258807">
    <w:abstractNumId w:val="23"/>
  </w:num>
  <w:num w:numId="19" w16cid:durableId="1158305082">
    <w:abstractNumId w:val="20"/>
  </w:num>
  <w:num w:numId="20" w16cid:durableId="858735347">
    <w:abstractNumId w:val="16"/>
  </w:num>
  <w:num w:numId="21" w16cid:durableId="1117214107">
    <w:abstractNumId w:val="22"/>
  </w:num>
  <w:num w:numId="22" w16cid:durableId="898514282">
    <w:abstractNumId w:val="6"/>
  </w:num>
  <w:num w:numId="23" w16cid:durableId="545683303">
    <w:abstractNumId w:val="0"/>
  </w:num>
  <w:num w:numId="24" w16cid:durableId="200049933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A4B09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5718A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72D88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717BE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318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  <w:rsid w:val="00FF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A4B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717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2023-08-19T17:08:00Z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