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401"/>
        <w:gridCol w:w="1729"/>
        <w:gridCol w:w="3207"/>
      </w:tblGrid>
      <w:tr w:rsidR="00C9238F" w:rsidRPr="000D3F69" w14:paraId="104F9DBE" w14:textId="77777777" w:rsidTr="00931093">
        <w:tc>
          <w:tcPr>
            <w:tcW w:w="486" w:type="pct"/>
            <w:vAlign w:val="center"/>
          </w:tcPr>
          <w:p w14:paraId="06D363B0" w14:textId="2C56D18B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76A41892" w14:textId="66C5413D" w:rsidR="00BD3411" w:rsidRPr="000D3F69" w:rsidRDefault="00BD52F7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Analysis of dynamic interactions in a bubble-particle system in presence of an acoustic field</w:t>
            </w:r>
          </w:p>
        </w:tc>
      </w:tr>
      <w:tr w:rsidR="00C9238F" w:rsidRPr="000D3F69" w14:paraId="41B6DFDE" w14:textId="77777777" w:rsidTr="00931093">
        <w:tc>
          <w:tcPr>
            <w:tcW w:w="486" w:type="pct"/>
            <w:vAlign w:val="center"/>
          </w:tcPr>
          <w:p w14:paraId="59632982" w14:textId="303F20A2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Author(s) Name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C3C55DD" w14:textId="4D8111A2" w:rsidR="00BD3411" w:rsidRPr="000D3F69" w:rsidRDefault="00BD52F7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 xml:space="preserve">Dilruba Yasmin, </w:t>
            </w:r>
            <w:proofErr w:type="spellStart"/>
            <w:r w:rsidRPr="000D3F69">
              <w:rPr>
                <w:rFonts w:ascii="Times New Roman" w:hAnsi="Times New Roman" w:cs="Times New Roman"/>
              </w:rPr>
              <w:t>Subhasish</w:t>
            </w:r>
            <w:proofErr w:type="spellEnd"/>
            <w:r w:rsidRPr="000D3F69">
              <w:rPr>
                <w:rFonts w:ascii="Times New Roman" w:hAnsi="Times New Roman" w:cs="Times New Roman"/>
              </w:rPr>
              <w:t xml:space="preserve"> Mitra, Geoffrey M. Evans</w:t>
            </w:r>
          </w:p>
        </w:tc>
      </w:tr>
      <w:tr w:rsidR="00C9238F" w:rsidRPr="000D3F69" w14:paraId="1694AB7A" w14:textId="77777777" w:rsidTr="00931093">
        <w:tc>
          <w:tcPr>
            <w:tcW w:w="486" w:type="pct"/>
            <w:vAlign w:val="center"/>
          </w:tcPr>
          <w:p w14:paraId="1FB726A9" w14:textId="0A6884DA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Contact Email(s)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5052E128" w14:textId="77269BBC" w:rsidR="00BD3411" w:rsidRPr="000D3F69" w:rsidRDefault="00B85361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dydilara10@gmail.com</w:t>
            </w:r>
          </w:p>
        </w:tc>
      </w:tr>
      <w:tr w:rsidR="00C9238F" w:rsidRPr="000D3F69" w14:paraId="3A03CA46" w14:textId="77777777" w:rsidTr="00931093">
        <w:tc>
          <w:tcPr>
            <w:tcW w:w="486" w:type="pct"/>
            <w:vAlign w:val="center"/>
          </w:tcPr>
          <w:p w14:paraId="60832908" w14:textId="4F63C3E7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Published Journal Name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22C9FD36" w14:textId="2977A076" w:rsidR="00BD3411" w:rsidRPr="000D3F69" w:rsidRDefault="008E4C5A" w:rsidP="000D3F69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3F69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Minerals </w:t>
            </w:r>
            <w:r w:rsidR="00470CE6" w:rsidRPr="000D3F69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Engineering</w:t>
            </w:r>
          </w:p>
        </w:tc>
      </w:tr>
      <w:tr w:rsidR="00010104" w:rsidRPr="000D3F69" w14:paraId="29260EEE" w14:textId="77777777" w:rsidTr="00931093">
        <w:tc>
          <w:tcPr>
            <w:tcW w:w="486" w:type="pct"/>
            <w:vAlign w:val="center"/>
          </w:tcPr>
          <w:p w14:paraId="6F11A6E8" w14:textId="522F2DD5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Type of Publication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133D139C" w14:textId="754A960D" w:rsidR="00BD3411" w:rsidRPr="000D3F69" w:rsidRDefault="00FC4772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 xml:space="preserve">    Article</w:t>
            </w:r>
          </w:p>
        </w:tc>
      </w:tr>
      <w:tr w:rsidR="00576892" w:rsidRPr="000D3F69" w14:paraId="0198AB89" w14:textId="77777777" w:rsidTr="00931093">
        <w:tc>
          <w:tcPr>
            <w:tcW w:w="486" w:type="pct"/>
            <w:vAlign w:val="center"/>
          </w:tcPr>
          <w:p w14:paraId="3E73A81C" w14:textId="713E0E75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1837" w:type="pct"/>
            <w:tcBorders>
              <w:bottom w:val="single" w:sz="4" w:space="0" w:color="auto"/>
            </w:tcBorders>
            <w:vAlign w:val="bottom"/>
          </w:tcPr>
          <w:p w14:paraId="76051B5A" w14:textId="0E776E43" w:rsidR="00BD3411" w:rsidRPr="000D3F69" w:rsidRDefault="001250B9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44" w:type="pct"/>
            <w:vAlign w:val="bottom"/>
          </w:tcPr>
          <w:p w14:paraId="3CF73C17" w14:textId="63278ED5" w:rsidR="00BD3411" w:rsidRPr="000D3F69" w:rsidRDefault="00000000" w:rsidP="000D3F69">
            <w:pPr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bottom"/>
          </w:tcPr>
          <w:p w14:paraId="73C90383" w14:textId="16CDB82A" w:rsidR="00BD3411" w:rsidRPr="000D3F69" w:rsidRDefault="00BD3411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2B20" w:rsidRPr="000D3F69" w14:paraId="29A11658" w14:textId="77777777" w:rsidTr="00931093">
        <w:tc>
          <w:tcPr>
            <w:tcW w:w="486" w:type="pct"/>
            <w:vAlign w:val="center"/>
          </w:tcPr>
          <w:p w14:paraId="6B703DB8" w14:textId="37F97E2F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7C35739C" w14:textId="7E792F95" w:rsidR="00BD3411" w:rsidRPr="000D3F69" w:rsidRDefault="000D3F69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ELSEVIER</w:t>
            </w:r>
          </w:p>
        </w:tc>
      </w:tr>
      <w:tr w:rsidR="00852B20" w:rsidRPr="000D3F69" w14:paraId="0977BFEF" w14:textId="77777777" w:rsidTr="00931093">
        <w:tc>
          <w:tcPr>
            <w:tcW w:w="486" w:type="pct"/>
            <w:vAlign w:val="center"/>
          </w:tcPr>
          <w:p w14:paraId="4291962E" w14:textId="03399576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Publication Date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663B3BF3" w14:textId="7FB6983E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 xml:space="preserve"> </w:t>
            </w:r>
            <w:r w:rsidR="00FC4772" w:rsidRPr="000D3F69">
              <w:rPr>
                <w:rFonts w:ascii="Times New Roman" w:hAnsi="Times New Roman" w:cs="Times New Roman"/>
              </w:rPr>
              <w:t xml:space="preserve">       Year-201</w:t>
            </w:r>
            <w:r w:rsidR="00297314" w:rsidRPr="000D3F69">
              <w:rPr>
                <w:rFonts w:ascii="Times New Roman" w:hAnsi="Times New Roman" w:cs="Times New Roman"/>
              </w:rPr>
              <w:t>9</w:t>
            </w:r>
          </w:p>
        </w:tc>
      </w:tr>
      <w:tr w:rsidR="00852B20" w:rsidRPr="000D3F69" w14:paraId="04C32390" w14:textId="77777777" w:rsidTr="00931093">
        <w:tc>
          <w:tcPr>
            <w:tcW w:w="486" w:type="pct"/>
            <w:vAlign w:val="center"/>
          </w:tcPr>
          <w:p w14:paraId="13D6FAC3" w14:textId="7297330A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ISSN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395ECBF4" w14:textId="7B8BF8F8" w:rsidR="00BD3411" w:rsidRPr="000D3F69" w:rsidRDefault="00BD3411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2B20" w:rsidRPr="000D3F69" w14:paraId="6125C715" w14:textId="77777777" w:rsidTr="00931093">
        <w:tc>
          <w:tcPr>
            <w:tcW w:w="486" w:type="pct"/>
            <w:vAlign w:val="center"/>
          </w:tcPr>
          <w:p w14:paraId="41B57CC6" w14:textId="4F3F116A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DOI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6A80901E" w14:textId="5FAFCBD2" w:rsidR="00BD3411" w:rsidRPr="000D3F69" w:rsidRDefault="00BD3411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238F" w:rsidRPr="000D3F69" w14:paraId="16A1DAEC" w14:textId="77777777" w:rsidTr="00931093">
        <w:tc>
          <w:tcPr>
            <w:tcW w:w="486" w:type="pct"/>
            <w:vAlign w:val="center"/>
          </w:tcPr>
          <w:p w14:paraId="58F94C75" w14:textId="7E5AE992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6EF70C5A" w14:textId="2AD76B02" w:rsidR="00BD3411" w:rsidRPr="000D3F69" w:rsidRDefault="000D3F69" w:rsidP="000D3F69">
            <w:pPr>
              <w:spacing w:before="240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Pr="000D3F69">
                <w:rPr>
                  <w:rStyle w:val="Hyperlink"/>
                  <w:rFonts w:ascii="Times New Roman" w:hAnsi="Times New Roman" w:cs="Times New Roman"/>
                </w:rPr>
                <w:t>https://www.sciencedirect.com/science/article/abs/pii/S0892687518304813</w:t>
              </w:r>
            </w:hyperlink>
            <w:r w:rsidRPr="000D3F6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852B20" w:rsidRPr="000D3F69" w14:paraId="204EC2C6" w14:textId="77777777" w:rsidTr="00931093">
        <w:tc>
          <w:tcPr>
            <w:tcW w:w="486" w:type="pct"/>
            <w:vAlign w:val="center"/>
          </w:tcPr>
          <w:p w14:paraId="07EC2428" w14:textId="42CDFAAE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Other Related Info.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107E7105" w14:textId="77777777" w:rsidR="00BD3411" w:rsidRPr="000D3F69" w:rsidRDefault="00BD3411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14:paraId="0933B90C" w14:textId="6AD201AD" w:rsidR="00BD3411" w:rsidRPr="000D3F69" w:rsidRDefault="00BD3411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238F" w:rsidRPr="000D3F69" w14:paraId="0B169241" w14:textId="77777777" w:rsidTr="00576892"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5A585DE2" w14:textId="77777777" w:rsidR="00BD3411" w:rsidRPr="000D3F69" w:rsidRDefault="00BD3411" w:rsidP="000D3F69">
            <w:pPr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</w:tc>
      </w:tr>
    </w:tbl>
    <w:tbl>
      <w:tblPr>
        <w:tblpPr w:leftFromText="180" w:rightFromText="180" w:vertAnchor="text" w:horzAnchor="margin" w:tblpY="123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0"/>
        <w:gridCol w:w="4950"/>
      </w:tblGrid>
      <w:tr w:rsidR="00931093" w:rsidRPr="000D3F69" w14:paraId="3AB8C5CA" w14:textId="77777777" w:rsidTr="00FC4772">
        <w:tc>
          <w:tcPr>
            <w:tcW w:w="2356" w:type="pct"/>
            <w:tcBorders>
              <w:bottom w:val="single" w:sz="4" w:space="0" w:color="auto"/>
            </w:tcBorders>
            <w:vAlign w:val="bottom"/>
          </w:tcPr>
          <w:p w14:paraId="54EFBF78" w14:textId="77777777" w:rsidR="00BD3411" w:rsidRPr="000D3F69" w:rsidRDefault="00000000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2644" w:type="pct"/>
            <w:tcBorders>
              <w:bottom w:val="single" w:sz="4" w:space="0" w:color="auto"/>
            </w:tcBorders>
            <w:vAlign w:val="bottom"/>
          </w:tcPr>
          <w:p w14:paraId="0C913C08" w14:textId="77777777" w:rsidR="00BD3411" w:rsidRPr="000D3F69" w:rsidRDefault="00BD3411" w:rsidP="000D3F6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1093" w:rsidRPr="000D3F69" w14:paraId="51B96FE8" w14:textId="77777777" w:rsidTr="00FC4772"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9A41A" w14:textId="0F40FDA8" w:rsidR="00BD3411" w:rsidRPr="000D3F69" w:rsidRDefault="000D3F69" w:rsidP="000D3F69">
            <w:pPr>
              <w:jc w:val="both"/>
              <w:rPr>
                <w:rFonts w:ascii="Times New Roman" w:hAnsi="Times New Roman" w:cs="Times New Roman"/>
              </w:rPr>
            </w:pPr>
            <w:r w:rsidRPr="000D3F69">
              <w:rPr>
                <w:rFonts w:ascii="Times New Roman" w:hAnsi="Times New Roman" w:cs="Times New Roman"/>
                <w:color w:val="1F1F1F"/>
              </w:rPr>
              <w:lastRenderedPageBreak/>
              <w:t>Use of an acoustic field in </w:t>
            </w:r>
            <w:hyperlink r:id="rId7" w:tooltip="Learn more about flotation from ScienceDirect's AI-generated Topic Pages" w:history="1">
              <w:r w:rsidRPr="000D3F69">
                <w:rPr>
                  <w:rStyle w:val="Hyperlink"/>
                  <w:rFonts w:ascii="Times New Roman" w:hAnsi="Times New Roman" w:cs="Times New Roman"/>
                  <w:color w:val="1F1F1F"/>
                </w:rPr>
                <w:t>flotation</w:t>
              </w:r>
            </w:hyperlink>
            <w:r w:rsidRPr="000D3F69">
              <w:rPr>
                <w:rFonts w:ascii="Times New Roman" w:hAnsi="Times New Roman" w:cs="Times New Roman"/>
                <w:color w:val="1F1F1F"/>
              </w:rPr>
              <w:t> is known to improve mineral recovery. However, studies in this area are rather limited and in general there is a lack of a mechanistic description of the collision and collection efficiency of particles in presence of an external acoustic field. This study aims to contribute to this knowledge gap by developing a simplified 3D numerical model of single bubble-particle interactions based on a </w:t>
            </w:r>
            <w:hyperlink r:id="rId8" w:tooltip="Learn more about discrete element method from ScienceDirect's AI-generated Topic Pages" w:history="1">
              <w:r w:rsidRPr="000D3F69">
                <w:rPr>
                  <w:rStyle w:val="Hyperlink"/>
                  <w:rFonts w:ascii="Times New Roman" w:hAnsi="Times New Roman" w:cs="Times New Roman"/>
                  <w:color w:val="1F1F1F"/>
                </w:rPr>
                <w:t>discrete element method</w:t>
              </w:r>
            </w:hyperlink>
            <w:r w:rsidRPr="000D3F69">
              <w:rPr>
                <w:rFonts w:ascii="Times New Roman" w:hAnsi="Times New Roman" w:cs="Times New Roman"/>
                <w:color w:val="1F1F1F"/>
              </w:rPr>
              <w:t xml:space="preserve"> (DEM) based approach. Volume mode oscillatory </w:t>
            </w:r>
            <w:proofErr w:type="spellStart"/>
            <w:r w:rsidRPr="000D3F69">
              <w:rPr>
                <w:rFonts w:ascii="Times New Roman" w:hAnsi="Times New Roman" w:cs="Times New Roman"/>
                <w:color w:val="1F1F1F"/>
              </w:rPr>
              <w:t>behaviour</w:t>
            </w:r>
            <w:proofErr w:type="spellEnd"/>
            <w:r w:rsidRPr="000D3F69">
              <w:rPr>
                <w:rFonts w:ascii="Times New Roman" w:hAnsi="Times New Roman" w:cs="Times New Roman"/>
                <w:color w:val="1F1F1F"/>
              </w:rPr>
              <w:t xml:space="preserve"> of the bubble was modelled within the theoretical spherical shape limit (0.1 ≤ </w:t>
            </w:r>
            <w:r w:rsidRPr="000D3F69">
              <w:rPr>
                <w:rStyle w:val="Emphasis"/>
                <w:rFonts w:ascii="Times New Roman" w:hAnsi="Times New Roman" w:cs="Times New Roman"/>
                <w:color w:val="1F1F1F"/>
              </w:rPr>
              <w:t>Bo</w:t>
            </w:r>
            <w:r w:rsidRPr="000D3F69">
              <w:rPr>
                <w:rFonts w:ascii="Times New Roman" w:hAnsi="Times New Roman" w:cs="Times New Roman"/>
                <w:color w:val="1F1F1F"/>
              </w:rPr>
              <w:t> ≤ 0.5) using 1D Rayleigh-</w:t>
            </w:r>
            <w:proofErr w:type="spellStart"/>
            <w:r w:rsidRPr="000D3F69">
              <w:rPr>
                <w:rFonts w:ascii="Times New Roman" w:hAnsi="Times New Roman" w:cs="Times New Roman"/>
                <w:color w:val="1F1F1F"/>
              </w:rPr>
              <w:t>Plesset</w:t>
            </w:r>
            <w:proofErr w:type="spellEnd"/>
            <w:r w:rsidRPr="000D3F69">
              <w:rPr>
                <w:rFonts w:ascii="Times New Roman" w:hAnsi="Times New Roman" w:cs="Times New Roman"/>
                <w:color w:val="1F1F1F"/>
              </w:rPr>
              <w:t xml:space="preserve"> equation in a quiescent liquid medium and one-way coupled to particle motion obtained through DEM. Interaction dynamics were simulated for various operating conditions involving three parameters, namely oscillation amplitude ratio (</w:t>
            </w:r>
            <w:r w:rsidRPr="000D3F69">
              <w:rPr>
                <w:rStyle w:val="Emphasis"/>
                <w:rFonts w:ascii="Times New Roman" w:hAnsi="Times New Roman" w:cs="Times New Roman"/>
                <w:color w:val="1F1F1F"/>
              </w:rPr>
              <w:t>ε</w:t>
            </w:r>
            <w:r w:rsidRPr="000D3F69">
              <w:rPr>
                <w:rFonts w:ascii="Times New Roman" w:hAnsi="Times New Roman" w:cs="Times New Roman"/>
                <w:color w:val="1F1F1F"/>
              </w:rPr>
              <w:t> ≤ 0.1), excitation frequency (below and above resonance frequency) and bubble-particle surface-to-surface distance (</w:t>
            </w:r>
            <w:r w:rsidRPr="000D3F69">
              <w:rPr>
                <w:rFonts w:ascii="Cambria Math" w:hAnsi="Cambria Math" w:cs="Cambria Math"/>
                <w:color w:val="1F1F1F"/>
              </w:rPr>
              <w:t>∼</w:t>
            </w:r>
            <w:r w:rsidRPr="000D3F69">
              <w:rPr>
                <w:rFonts w:ascii="Times New Roman" w:hAnsi="Times New Roman" w:cs="Times New Roman"/>
                <w:color w:val="1F1F1F"/>
              </w:rPr>
              <w:t xml:space="preserve">1.0 to 10.6% of bubble radius). Regime maps were constructed to establish suitable combinations of these three operating parameters to represent the collision and attachment </w:t>
            </w:r>
            <w:proofErr w:type="spellStart"/>
            <w:r w:rsidRPr="000D3F69">
              <w:rPr>
                <w:rFonts w:ascii="Times New Roman" w:hAnsi="Times New Roman" w:cs="Times New Roman"/>
                <w:color w:val="1F1F1F"/>
              </w:rPr>
              <w:t>behaviour</w:t>
            </w:r>
            <w:proofErr w:type="spellEnd"/>
            <w:r w:rsidRPr="000D3F69">
              <w:rPr>
                <w:rFonts w:ascii="Times New Roman" w:hAnsi="Times New Roman" w:cs="Times New Roman"/>
                <w:color w:val="1F1F1F"/>
              </w:rPr>
              <w:t xml:space="preserve"> of a particle with the oscillating bubble. While conventional </w:t>
            </w:r>
            <w:hyperlink r:id="rId9" w:tooltip="Learn more about flotation from ScienceDirect's AI-generated Topic Pages" w:history="1">
              <w:r w:rsidRPr="000D3F69">
                <w:rPr>
                  <w:rStyle w:val="Hyperlink"/>
                  <w:rFonts w:ascii="Times New Roman" w:hAnsi="Times New Roman" w:cs="Times New Roman"/>
                  <w:color w:val="1F1F1F"/>
                </w:rPr>
                <w:t>flotation</w:t>
              </w:r>
            </w:hyperlink>
            <w:r w:rsidRPr="000D3F69">
              <w:rPr>
                <w:rFonts w:ascii="Times New Roman" w:hAnsi="Times New Roman" w:cs="Times New Roman"/>
                <w:color w:val="1F1F1F"/>
              </w:rPr>
              <w:t> models predict </w:t>
            </w:r>
            <w:hyperlink r:id="rId10" w:tooltip="Learn more about particle collision from ScienceDirect's AI-generated Topic Pages" w:history="1">
              <w:r w:rsidRPr="000D3F69">
                <w:rPr>
                  <w:rStyle w:val="Hyperlink"/>
                  <w:rFonts w:ascii="Times New Roman" w:hAnsi="Times New Roman" w:cs="Times New Roman"/>
                  <w:color w:val="1F1F1F"/>
                </w:rPr>
                <w:t>particle collision</w:t>
              </w:r>
            </w:hyperlink>
            <w:r w:rsidRPr="000D3F69">
              <w:rPr>
                <w:rFonts w:ascii="Times New Roman" w:hAnsi="Times New Roman" w:cs="Times New Roman"/>
                <w:color w:val="1F1F1F"/>
              </w:rPr>
              <w:t> efficiency based on the nearest streamline adjacent to the bubble surface, application of an acoustic field on a bubble was shown to incur collision with a particle in the far field away from the interface due to oscillatory motion. It was noted that although such collisions occurred in the below-resonance-frequency regime (</w:t>
            </w:r>
            <w:r w:rsidRPr="000D3F69">
              <w:rPr>
                <w:rFonts w:ascii="Cambria Math" w:hAnsi="Cambria Math" w:cs="Cambria Math"/>
                <w:color w:val="1F1F1F"/>
              </w:rPr>
              <w:t>∼</w:t>
            </w:r>
            <w:r w:rsidRPr="000D3F69">
              <w:rPr>
                <w:rFonts w:ascii="Times New Roman" w:hAnsi="Times New Roman" w:cs="Times New Roman"/>
                <w:color w:val="1F1F1F"/>
              </w:rPr>
              <w:t xml:space="preserve">35 to 79 Hz), particle attachment did not occur due to weakening of the attractive capillary force. In the above-resonance-frequency regime (3.61–14.4 kHz), however, particle attachment was </w:t>
            </w:r>
            <w:proofErr w:type="gramStart"/>
            <w:r w:rsidRPr="000D3F69">
              <w:rPr>
                <w:rFonts w:ascii="Times New Roman" w:hAnsi="Times New Roman" w:cs="Times New Roman"/>
                <w:color w:val="1F1F1F"/>
              </w:rPr>
              <w:t>predicted</w:t>
            </w:r>
            <w:proofErr w:type="gramEnd"/>
            <w:r w:rsidRPr="000D3F69">
              <w:rPr>
                <w:rFonts w:ascii="Times New Roman" w:hAnsi="Times New Roman" w:cs="Times New Roman"/>
                <w:color w:val="1F1F1F"/>
              </w:rPr>
              <w:t xml:space="preserve"> and attachment probability increased in the vicinity of the bubble resonance frequency.</w:t>
            </w:r>
          </w:p>
        </w:tc>
      </w:tr>
    </w:tbl>
    <w:p w14:paraId="368EFAEB" w14:textId="37F3027A" w:rsidR="00BD3411" w:rsidRPr="000D3F69" w:rsidRDefault="00BD3411" w:rsidP="000D3F69">
      <w:pPr>
        <w:jc w:val="both"/>
        <w:rPr>
          <w:rFonts w:ascii="Times New Roman" w:hAnsi="Times New Roman" w:cs="Times New Roman"/>
        </w:rPr>
      </w:pPr>
    </w:p>
    <w:p w14:paraId="048A3FFA" w14:textId="77777777" w:rsidR="00BD3411" w:rsidRPr="000D3F69" w:rsidRDefault="00BD3411" w:rsidP="000D3F69">
      <w:pPr>
        <w:jc w:val="both"/>
        <w:rPr>
          <w:rFonts w:ascii="Times New Roman" w:hAnsi="Times New Roman" w:cs="Times New Roman"/>
        </w:rPr>
      </w:pPr>
    </w:p>
    <w:sectPr w:rsidR="00BD3411" w:rsidRPr="000D3F69" w:rsidSect="00576892">
      <w:headerReference w:type="default" r:id="rId11"/>
      <w:footerReference w:type="default" r:id="rId12"/>
      <w:pgSz w:w="12240" w:h="15840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C612" w14:textId="77777777" w:rsidR="000F4BDA" w:rsidRDefault="000F4BDA">
      <w:pPr>
        <w:spacing w:after="0" w:line="240" w:lineRule="auto"/>
      </w:pPr>
      <w:r>
        <w:separator/>
      </w:r>
    </w:p>
  </w:endnote>
  <w:endnote w:type="continuationSeparator" w:id="0">
    <w:p w14:paraId="6362F351" w14:textId="77777777" w:rsidR="000F4BDA" w:rsidRDefault="000F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003212" w:rsidRPr="00003212" w14:paraId="12E50DC3" w14:textId="77777777" w:rsidTr="00C4167A">
      <w:tc>
        <w:tcPr>
          <w:tcW w:w="4675" w:type="dxa"/>
          <w:vAlign w:val="center"/>
        </w:tcPr>
        <w:p w14:paraId="3B1F18DD" w14:textId="76A08069" w:rsidR="00BD3411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noProof/>
              <w:sz w:val="18"/>
              <w:szCs w:val="24"/>
            </w:rPr>
            <w:drawing>
              <wp:inline distT="0" distB="0" distL="0" distR="0" wp14:anchorId="1B54396D" wp14:editId="4580CC2A">
                <wp:extent cx="647050" cy="583007"/>
                <wp:effectExtent l="0" t="0" r="1270" b="7620"/>
                <wp:docPr id="3" name="Picture 3" descr="A picture containing text, aircraf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aircraf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60" cy="663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24"/>
            </w:rPr>
            <w:t xml:space="preserve">   </w:t>
          </w:r>
        </w:p>
      </w:tc>
      <w:tc>
        <w:tcPr>
          <w:tcW w:w="4675" w:type="dxa"/>
          <w:vAlign w:val="center"/>
        </w:tcPr>
        <w:sdt>
          <w:sdtPr>
            <w:rPr>
              <w:i/>
              <w:iCs/>
              <w:u w:val="single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i/>
                  <w:iCs/>
                  <w:u w:val="single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0289CE32" w:rsidR="00BD3411" w:rsidRPr="00887812" w:rsidRDefault="00000000" w:rsidP="00887812">
                  <w:pPr>
                    <w:jc w:val="right"/>
                    <w:rPr>
                      <w:i/>
                      <w:iCs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0863BE5F" wp14:editId="1140B7BD">
                            <wp:simplePos x="0" y="0"/>
                            <wp:positionH relativeFrom="column">
                              <wp:posOffset>-2262505</wp:posOffset>
                            </wp:positionH>
                            <wp:positionV relativeFrom="paragraph">
                              <wp:posOffset>-161290</wp:posOffset>
                            </wp:positionV>
                            <wp:extent cx="4381500" cy="552450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81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41B4C1" w14:textId="644E6C47" w:rsidR="00BD3411" w:rsidRPr="000D68B9" w:rsidRDefault="00000000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t xml:space="preserve">Faculty of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Science and Technology</w:t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br/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American International University-Bangladesh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63BE5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178.15pt;margin-top:-12.7pt;width:34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0CwIAABwEAAAOAAAAZHJzL2Uyb0RvYy54bWysU11r2zAUfR/sPwi9L07SphQTp2QtGYPQ&#10;FtLRZ0WWYoOsq10psbtfvyvZTrZuT2Mv8rXu9zlHy7uuMeyk0NdgCz6bTDlTVkJZ20PBv71sPt1y&#10;5oOwpTBgVcHflOd3q48flq3L1RwqMKVCRkWsz1tX8CoEl2eZl5VqhJ+AU5acGrARgX7xkJUoWqre&#10;mGw+nd5kLWDpEKTynm4feidfpfpaKxmetPYqMFNwmi2kE9O5j2e2Wor8gMJVtRzGEP8wRSNqS03P&#10;pR5EEOyI9R+lmloieNBhIqHJQOtaqrQDbTObvttmVwmn0i4EjndnmPz/KysfTzv3jCx0n6EjAiMg&#10;rfO5p8u4T6exiV+alJGfIHw7w6a6wCRdXl/dzhZTcknyLRbz60XCNbtkO/Thi4KGRaPgSLQktMRp&#10;6wN1pNAxJDazsKmNSdQYy9qC31xRyd88lGEsJV5mjVbo9t2wwB7KN9oLoafcO7mpqflW+PAskDim&#10;eUm34YkObYCawGBxVgH++Nt9jCfoyctZS5opuP9+FKg4M18tkRIFNho4GvvRsMfmHkiGM3oRTiaT&#10;EjCY0dQIzSvJeR27kEtYSb0KHkbzPvTKpecg1XqdgkhGToSt3TkZS0eQIpQv3atAN+AdiKlHGNUk&#10;8new97E9vOtjAF0nTiKgPYoDziTBRNXwXKLGf/1PUZdHvfoJAAD//wMAUEsDBBQABgAIAAAAIQBb&#10;gBgd4gAAAAsBAAAPAAAAZHJzL2Rvd25yZXYueG1sTI/LTsMwEEX3SPyDNUjsWic1TVGIUyEeOyjQ&#10;ggQ7Jx6SCHscxU4a/h6zgt2M5ujOucV2toZNOPjOkYR0mQBDqp3uqJHwerhfXALzQZFWxhFK+EYP&#10;2/L0pFC5dkd6wWkfGhZDyOdKQhtCn3Pu6xat8kvXI8XbpxusCnEdGq4HdYzh1vBVkmTcqo7ih1b1&#10;eNNi/bUfrQTz7oeHKgkf023zGJ6f+Ph2l+6kPD+br6+ABZzDHwy/+lEdyuhUuZG0Z0bCQqwzEdk4&#10;rdYXwCIihNgAqyRkaQa8LPj/DuUPAAAA//8DAFBLAQItABQABgAIAAAAIQC2gziS/gAAAOEBAAAT&#10;AAAAAAAAAAAAAAAAAAAAAABbQ29udGVudF9UeXBlc10ueG1sUEsBAi0AFAAGAAgAAAAhADj9If/W&#10;AAAAlAEAAAsAAAAAAAAAAAAAAAAALwEAAF9yZWxzLy5yZWxzUEsBAi0AFAAGAAgAAAAhAGjFNPQL&#10;AgAAHAQAAA4AAAAAAAAAAAAAAAAALgIAAGRycy9lMm9Eb2MueG1sUEsBAi0AFAAGAAgAAAAhAFuA&#10;GB3iAAAACwEAAA8AAAAAAAAAAAAAAAAAZQQAAGRycy9kb3ducmV2LnhtbFBLBQYAAAAABAAEAPMA&#10;AAB0BQAAAAA=&#10;" filled="f" stroked="f" strokeweight=".5pt">
                            <v:textbox inset="0,0,0,0">
                              <w:txbxContent>
                                <w:p w14:paraId="2441B4C1" w14:textId="644E6C47" w:rsidR="00000000" w:rsidRPr="000D68B9" w:rsidRDefault="0000000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t xml:space="preserve">Faculty of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Science and Technology</w:t>
                                  </w: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Pr="000D68B9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American International University-Bangladesh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iCs/>
                      <w:u w:val="single"/>
                    </w:rPr>
                    <w:t xml:space="preserve"> </w:t>
                  </w:r>
                  <w:r w:rsidRPr="00887812">
                    <w:rPr>
                      <w:i/>
                      <w:iCs/>
                      <w:u w:val="single"/>
                    </w:rPr>
                    <w:t xml:space="preserve">Page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PAGE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  <w:r w:rsidRPr="00887812">
                    <w:rPr>
                      <w:i/>
                      <w:iCs/>
                      <w:u w:val="single"/>
                    </w:rPr>
                    <w:t xml:space="preserve"> of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NUMPAGES 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BD3411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77777777" w:rsidR="00BD3411" w:rsidRPr="00003212" w:rsidRDefault="00BD3411" w:rsidP="00003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0D8A" w14:textId="77777777" w:rsidR="000F4BDA" w:rsidRDefault="000F4BDA">
      <w:pPr>
        <w:spacing w:after="0" w:line="240" w:lineRule="auto"/>
      </w:pPr>
      <w:r>
        <w:separator/>
      </w:r>
    </w:p>
  </w:footnote>
  <w:footnote w:type="continuationSeparator" w:id="0">
    <w:p w14:paraId="7AD8B81C" w14:textId="77777777" w:rsidR="000F4BDA" w:rsidRDefault="000F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shd w:val="clear" w:color="auto" w:fill="F19D64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50"/>
      <w:gridCol w:w="8000"/>
    </w:tblGrid>
    <w:tr w:rsidR="00576892" w:rsidRPr="00576892" w14:paraId="477E62F0" w14:textId="77777777" w:rsidTr="00C333A6">
      <w:trPr>
        <w:trHeight w:val="990"/>
      </w:trPr>
      <w:tc>
        <w:tcPr>
          <w:tcW w:w="1350" w:type="dxa"/>
          <w:shd w:val="clear" w:color="auto" w:fill="F19D64" w:themeFill="accent2" w:themeFillTint="BF"/>
          <w:vAlign w:val="center"/>
        </w:tcPr>
        <w:p w14:paraId="6567CCB1" w14:textId="77777777" w:rsidR="00BD3411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576892"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F19D64" w:themeFill="accent2" w:themeFillTint="BF"/>
          <w:vAlign w:val="center"/>
        </w:tcPr>
        <w:p w14:paraId="5A248E92" w14:textId="383A668F" w:rsidR="00BD3411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t>AIUB DSpace Publication Details</w:t>
          </w:r>
        </w:p>
      </w:tc>
    </w:tr>
  </w:tbl>
  <w:p w14:paraId="56A65A3E" w14:textId="77777777" w:rsidR="00BD3411" w:rsidRPr="00C9238F" w:rsidRDefault="00BD3411" w:rsidP="005768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52"/>
    <w:rsid w:val="000A57BA"/>
    <w:rsid w:val="000D3F69"/>
    <w:rsid w:val="000F4BDA"/>
    <w:rsid w:val="001250B9"/>
    <w:rsid w:val="00185ECD"/>
    <w:rsid w:val="00247D52"/>
    <w:rsid w:val="00297314"/>
    <w:rsid w:val="002E05FF"/>
    <w:rsid w:val="002F3F07"/>
    <w:rsid w:val="003058E4"/>
    <w:rsid w:val="004033ED"/>
    <w:rsid w:val="00470CE6"/>
    <w:rsid w:val="005D6E91"/>
    <w:rsid w:val="006374FD"/>
    <w:rsid w:val="00720A97"/>
    <w:rsid w:val="0073271F"/>
    <w:rsid w:val="00732F85"/>
    <w:rsid w:val="00777020"/>
    <w:rsid w:val="00845F13"/>
    <w:rsid w:val="008E4C5A"/>
    <w:rsid w:val="00931965"/>
    <w:rsid w:val="0098457C"/>
    <w:rsid w:val="00A004F8"/>
    <w:rsid w:val="00A86CD8"/>
    <w:rsid w:val="00B13947"/>
    <w:rsid w:val="00B741A9"/>
    <w:rsid w:val="00B85361"/>
    <w:rsid w:val="00BD3411"/>
    <w:rsid w:val="00BD52F7"/>
    <w:rsid w:val="00BE6950"/>
    <w:rsid w:val="00C02435"/>
    <w:rsid w:val="00CF38A0"/>
    <w:rsid w:val="00D226EB"/>
    <w:rsid w:val="00E735B0"/>
    <w:rsid w:val="00F13A41"/>
    <w:rsid w:val="00F53C51"/>
    <w:rsid w:val="00F7485D"/>
    <w:rsid w:val="00FA3F77"/>
    <w:rsid w:val="00FB50AC"/>
    <w:rsid w:val="00F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C0D53"/>
  <w15:docId w15:val="{28A4342C-38E8-45E3-9F39-53574C4E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20A97"/>
    <w:rPr>
      <w:i/>
      <w:iCs/>
    </w:rPr>
  </w:style>
  <w:style w:type="character" w:styleId="Strong">
    <w:name w:val="Strong"/>
    <w:basedOn w:val="DefaultParagraphFont"/>
    <w:uiPriority w:val="22"/>
    <w:qFormat/>
    <w:rsid w:val="006374FD"/>
    <w:rPr>
      <w:b/>
      <w:bCs/>
    </w:rPr>
  </w:style>
  <w:style w:type="character" w:styleId="Hyperlink">
    <w:name w:val="Hyperlink"/>
    <w:basedOn w:val="DefaultParagraphFont"/>
    <w:uiPriority w:val="99"/>
    <w:unhideWhenUsed/>
    <w:rsid w:val="00931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9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020"/>
  </w:style>
  <w:style w:type="paragraph" w:styleId="Footer">
    <w:name w:val="footer"/>
    <w:basedOn w:val="Normal"/>
    <w:link w:val="FooterChar"/>
    <w:uiPriority w:val="99"/>
    <w:unhideWhenUsed/>
    <w:rsid w:val="0077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earth-and-planetary-sciences/discrete-element-metho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chemical-engineering/flotatio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abs/pii/S089268751830481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ciencedirect.com/topics/earth-and-planetary-sciences/particle-collis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iencedirect.com/topics/chemical-engineering/flotat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Dilruba Yasmin</dc:creator>
  <cp:lastModifiedBy>Dilruba Yasmin</cp:lastModifiedBy>
  <cp:revision>35</cp:revision>
  <dcterms:created xsi:type="dcterms:W3CDTF">2023-11-06T12:10:00Z</dcterms:created>
  <dcterms:modified xsi:type="dcterms:W3CDTF">2023-11-06T13:01:00Z</dcterms:modified>
</cp:coreProperties>
</file>