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4A4533"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2235"/>
        <w:gridCol w:w="6785"/>
      </w:tblGrid>
      <w:tr w:rsidR="00A17EDF" w:rsidRPr="00E04574" w14:paraId="180EF1BA" w14:textId="77777777" w:rsidTr="00966B23">
        <w:trPr>
          <w:trHeight w:val="615"/>
        </w:trPr>
        <w:tc>
          <w:tcPr>
            <w:tcW w:w="1239" w:type="pct"/>
          </w:tcPr>
          <w:p w14:paraId="300CC11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Title</w:t>
            </w:r>
          </w:p>
        </w:tc>
        <w:tc>
          <w:tcPr>
            <w:tcW w:w="3761" w:type="pct"/>
            <w:tcBorders>
              <w:top w:val="single" w:sz="18" w:space="0" w:color="007F00"/>
              <w:bottom w:val="single" w:sz="4" w:space="0" w:color="007F00"/>
            </w:tcBorders>
          </w:tcPr>
          <w:p w14:paraId="4D502500" w14:textId="77777777" w:rsidR="00C236C7" w:rsidRPr="00337BAA" w:rsidRDefault="00C236C7" w:rsidP="00C236C7">
            <w:pPr>
              <w:jc w:val="center"/>
              <w:rPr>
                <w:rFonts w:cs="Calibri"/>
                <w:b/>
                <w:sz w:val="28"/>
                <w:szCs w:val="24"/>
              </w:rPr>
            </w:pPr>
            <w:r w:rsidRPr="00337BAA">
              <w:rPr>
                <w:rFonts w:cs="Calibri"/>
                <w:b/>
                <w:sz w:val="28"/>
                <w:szCs w:val="24"/>
              </w:rPr>
              <w:t>Examining Students’ Behavioral Intention to Adopt ICTs at Tertiary Level.</w:t>
            </w:r>
          </w:p>
          <w:p w14:paraId="745911DB" w14:textId="7E20D9CA" w:rsidR="009E1613" w:rsidRPr="00E04574" w:rsidRDefault="009E1613" w:rsidP="00C01EFA">
            <w:pPr>
              <w:contextualSpacing/>
              <w:rPr>
                <w:rFonts w:ascii="Arial" w:eastAsia="Times New Roman" w:hAnsi="Arial" w:cs="Arial"/>
                <w:b/>
                <w:color w:val="000000"/>
                <w:kern w:val="0"/>
                <w:sz w:val="24"/>
                <w:szCs w:val="24"/>
                <w:lang w:eastAsia="en-US"/>
                <w14:ligatures w14:val="none"/>
              </w:rPr>
            </w:pPr>
          </w:p>
        </w:tc>
      </w:tr>
      <w:tr w:rsidR="00A17EDF" w:rsidRPr="00966B23" w14:paraId="54A17404" w14:textId="77777777" w:rsidTr="00966B23">
        <w:trPr>
          <w:trHeight w:val="615"/>
        </w:trPr>
        <w:tc>
          <w:tcPr>
            <w:tcW w:w="1239" w:type="pct"/>
          </w:tcPr>
          <w:p w14:paraId="105C2718" w14:textId="7DFB629E"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Author(s)</w:t>
            </w:r>
          </w:p>
        </w:tc>
        <w:tc>
          <w:tcPr>
            <w:tcW w:w="3761" w:type="pct"/>
            <w:tcBorders>
              <w:top w:val="single" w:sz="4" w:space="0" w:color="007F00"/>
              <w:bottom w:val="single" w:sz="4" w:space="0" w:color="007F00"/>
            </w:tcBorders>
          </w:tcPr>
          <w:p w14:paraId="4F760DF1" w14:textId="77777777" w:rsidR="00966B23" w:rsidRPr="00966B23" w:rsidRDefault="00966B23" w:rsidP="00966B23">
            <w:pPr>
              <w:pStyle w:val="NoSpacing"/>
              <w:jc w:val="center"/>
              <w:rPr>
                <w:rFonts w:cs="Calibri"/>
                <w:bCs/>
                <w:sz w:val="24"/>
                <w:szCs w:val="28"/>
              </w:rPr>
            </w:pPr>
            <w:r w:rsidRPr="00966B23">
              <w:rPr>
                <w:rFonts w:cs="Calibri"/>
                <w:bCs/>
                <w:sz w:val="24"/>
                <w:szCs w:val="28"/>
              </w:rPr>
              <w:t>Md. Khaled Amin*</w:t>
            </w:r>
            <w:r w:rsidRPr="00966B23">
              <w:rPr>
                <w:rFonts w:cs="Calibri"/>
                <w:bCs/>
                <w:sz w:val="24"/>
                <w:szCs w:val="28"/>
                <w:vertAlign w:val="superscript"/>
              </w:rPr>
              <w:t>1</w:t>
            </w:r>
            <w:r w:rsidRPr="00966B23">
              <w:rPr>
                <w:rFonts w:cs="Calibri"/>
                <w:bCs/>
                <w:sz w:val="24"/>
                <w:szCs w:val="28"/>
              </w:rPr>
              <w:t xml:space="preserve">, </w:t>
            </w:r>
            <w:proofErr w:type="spellStart"/>
            <w:r w:rsidRPr="00966B23">
              <w:rPr>
                <w:rFonts w:cs="Calibri"/>
                <w:bCs/>
                <w:sz w:val="24"/>
                <w:szCs w:val="28"/>
              </w:rPr>
              <w:t>Saihad</w:t>
            </w:r>
            <w:proofErr w:type="spellEnd"/>
            <w:r w:rsidRPr="00966B23">
              <w:rPr>
                <w:rFonts w:cs="Calibri"/>
                <w:bCs/>
                <w:sz w:val="24"/>
                <w:szCs w:val="28"/>
              </w:rPr>
              <w:t xml:space="preserve"> Shahid Rahman</w:t>
            </w:r>
            <w:r w:rsidRPr="00966B23">
              <w:rPr>
                <w:rFonts w:cs="Calibri"/>
                <w:bCs/>
                <w:sz w:val="24"/>
                <w:szCs w:val="28"/>
                <w:vertAlign w:val="superscript"/>
              </w:rPr>
              <w:t>2</w:t>
            </w:r>
            <w:r w:rsidRPr="00966B23">
              <w:rPr>
                <w:rFonts w:cs="Calibri"/>
                <w:bCs/>
                <w:sz w:val="24"/>
                <w:szCs w:val="28"/>
              </w:rPr>
              <w:t>, A.K.M Kamrul Haque</w:t>
            </w:r>
            <w:r w:rsidRPr="00966B23">
              <w:rPr>
                <w:rFonts w:cs="Calibri"/>
                <w:bCs/>
                <w:sz w:val="24"/>
                <w:szCs w:val="28"/>
                <w:vertAlign w:val="superscript"/>
              </w:rPr>
              <w:t>3</w:t>
            </w:r>
            <w:r w:rsidRPr="00966B23">
              <w:rPr>
                <w:rFonts w:cs="Calibri"/>
                <w:bCs/>
                <w:sz w:val="24"/>
                <w:szCs w:val="28"/>
              </w:rPr>
              <w:t xml:space="preserve"> </w:t>
            </w:r>
          </w:p>
          <w:p w14:paraId="3A5471E0" w14:textId="18C16CC2" w:rsidR="009E1613" w:rsidRPr="00966B23" w:rsidRDefault="009E1613" w:rsidP="00D364E6">
            <w:pPr>
              <w:autoSpaceDE w:val="0"/>
              <w:autoSpaceDN w:val="0"/>
              <w:adjustRightInd w:val="0"/>
              <w:spacing w:after="0" w:line="240" w:lineRule="auto"/>
              <w:rPr>
                <w:rFonts w:ascii="Arial" w:hAnsi="Arial" w:cs="Arial"/>
                <w:bCs/>
                <w:color w:val="FF0000"/>
                <w:kern w:val="0"/>
                <w:sz w:val="24"/>
                <w:szCs w:val="24"/>
              </w:rPr>
            </w:pPr>
          </w:p>
        </w:tc>
      </w:tr>
      <w:tr w:rsidR="00A17EDF" w:rsidRPr="00E04574" w14:paraId="13E30153" w14:textId="77777777" w:rsidTr="00966B23">
        <w:trPr>
          <w:trHeight w:val="615"/>
        </w:trPr>
        <w:tc>
          <w:tcPr>
            <w:tcW w:w="1239" w:type="pct"/>
          </w:tcPr>
          <w:p w14:paraId="50ECAEE5"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Contact Email(s)</w:t>
            </w:r>
          </w:p>
        </w:tc>
        <w:tc>
          <w:tcPr>
            <w:tcW w:w="3761" w:type="pct"/>
            <w:tcBorders>
              <w:top w:val="single" w:sz="4" w:space="0" w:color="007F00"/>
              <w:bottom w:val="single" w:sz="4" w:space="0" w:color="007F00"/>
            </w:tcBorders>
          </w:tcPr>
          <w:p w14:paraId="22FE612F" w14:textId="6504642D" w:rsidR="009E1613" w:rsidRPr="00E04574" w:rsidRDefault="00D52D31" w:rsidP="00A17EDF">
            <w:pPr>
              <w:spacing w:before="60" w:after="60"/>
              <w:rPr>
                <w:rFonts w:ascii="Arial" w:hAnsi="Arial" w:cs="Arial"/>
                <w:sz w:val="24"/>
                <w:szCs w:val="24"/>
              </w:rPr>
            </w:pPr>
            <w:r>
              <w:rPr>
                <w:rFonts w:ascii="Arial" w:hAnsi="Arial" w:cs="Arial"/>
                <w:sz w:val="24"/>
                <w:szCs w:val="24"/>
              </w:rPr>
              <w:t>khaque</w:t>
            </w:r>
            <w:r w:rsidR="006B0A01" w:rsidRPr="00E04574">
              <w:rPr>
                <w:rFonts w:ascii="Arial" w:hAnsi="Arial" w:cs="Arial"/>
                <w:sz w:val="24"/>
                <w:szCs w:val="24"/>
              </w:rPr>
              <w:t>@aiub.edu</w:t>
            </w:r>
          </w:p>
        </w:tc>
      </w:tr>
      <w:tr w:rsidR="00A17EDF" w:rsidRPr="00E04574" w14:paraId="7D4D6CF7" w14:textId="77777777" w:rsidTr="00966B23">
        <w:trPr>
          <w:trHeight w:val="615"/>
        </w:trPr>
        <w:tc>
          <w:tcPr>
            <w:tcW w:w="1239" w:type="pct"/>
          </w:tcPr>
          <w:p w14:paraId="06B677F1"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Published Journal</w:t>
            </w:r>
          </w:p>
        </w:tc>
        <w:tc>
          <w:tcPr>
            <w:tcW w:w="3761" w:type="pct"/>
            <w:tcBorders>
              <w:top w:val="single" w:sz="4" w:space="0" w:color="007F00"/>
              <w:bottom w:val="single" w:sz="4" w:space="0" w:color="007F00"/>
            </w:tcBorders>
          </w:tcPr>
          <w:p w14:paraId="2124012A" w14:textId="482C9ADE" w:rsidR="009E1613" w:rsidRPr="00052508" w:rsidRDefault="00966B23" w:rsidP="00052508">
            <w:pPr>
              <w:rPr>
                <w:rFonts w:ascii="Times New Roman" w:eastAsia="Times New Roman" w:hAnsi="Times New Roman" w:cs="Times New Roman"/>
                <w:b/>
                <w:color w:val="000000"/>
                <w:kern w:val="0"/>
                <w:sz w:val="24"/>
                <w:szCs w:val="24"/>
                <w:lang w:eastAsia="en-US"/>
                <w14:ligatures w14:val="none"/>
              </w:rPr>
            </w:pPr>
            <w:r>
              <w:t>Bangladesh Institute of Administration and Management (BIAM), Dhaka, Bangladesh</w:t>
            </w:r>
            <w:r>
              <w:t xml:space="preserve"> </w:t>
            </w:r>
          </w:p>
        </w:tc>
      </w:tr>
      <w:tr w:rsidR="00A17EDF" w:rsidRPr="00E04574" w14:paraId="1ADEF4E9" w14:textId="77777777" w:rsidTr="00966B23">
        <w:trPr>
          <w:trHeight w:val="615"/>
        </w:trPr>
        <w:tc>
          <w:tcPr>
            <w:tcW w:w="1239" w:type="pct"/>
          </w:tcPr>
          <w:p w14:paraId="1E5A2F3A"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Type of Publication</w:t>
            </w:r>
          </w:p>
        </w:tc>
        <w:tc>
          <w:tcPr>
            <w:tcW w:w="3761" w:type="pct"/>
            <w:tcBorders>
              <w:top w:val="single" w:sz="4" w:space="0" w:color="007F00"/>
              <w:bottom w:val="single" w:sz="4" w:space="0" w:color="007F00"/>
            </w:tcBorders>
          </w:tcPr>
          <w:p w14:paraId="04D28257" w14:textId="3F1F4F06" w:rsidR="009E1613" w:rsidRPr="00E04574" w:rsidRDefault="00657D65" w:rsidP="00A17EDF">
            <w:pPr>
              <w:spacing w:before="60" w:after="60"/>
              <w:rPr>
                <w:rFonts w:ascii="Arial" w:hAnsi="Arial" w:cs="Arial"/>
                <w:sz w:val="24"/>
                <w:szCs w:val="24"/>
              </w:rPr>
            </w:pPr>
            <w:r w:rsidRPr="00E04574">
              <w:rPr>
                <w:rFonts w:ascii="Arial" w:hAnsi="Arial" w:cs="Arial"/>
                <w:sz w:val="24"/>
                <w:szCs w:val="24"/>
              </w:rPr>
              <w:t>Conference Proceedings</w:t>
            </w:r>
          </w:p>
        </w:tc>
      </w:tr>
      <w:tr w:rsidR="00A17EDF" w:rsidRPr="00E04574" w14:paraId="503A6121" w14:textId="77777777" w:rsidTr="00966B23">
        <w:trPr>
          <w:trHeight w:val="615"/>
        </w:trPr>
        <w:tc>
          <w:tcPr>
            <w:tcW w:w="1239" w:type="pct"/>
          </w:tcPr>
          <w:p w14:paraId="7666560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Volume</w:t>
            </w:r>
          </w:p>
        </w:tc>
        <w:tc>
          <w:tcPr>
            <w:tcW w:w="3761" w:type="pct"/>
            <w:tcBorders>
              <w:top w:val="single" w:sz="4" w:space="0" w:color="007F00"/>
              <w:bottom w:val="single" w:sz="4" w:space="0" w:color="007F00"/>
            </w:tcBorders>
          </w:tcPr>
          <w:p w14:paraId="4F000E88" w14:textId="2F27617D" w:rsidR="009E1613" w:rsidRPr="00E04574" w:rsidRDefault="009E1613" w:rsidP="00A17EDF">
            <w:pPr>
              <w:spacing w:before="60" w:after="60"/>
              <w:rPr>
                <w:rFonts w:ascii="Arial" w:hAnsi="Arial" w:cs="Arial"/>
                <w:sz w:val="24"/>
                <w:szCs w:val="24"/>
              </w:rPr>
            </w:pPr>
          </w:p>
        </w:tc>
      </w:tr>
      <w:tr w:rsidR="00A17EDF" w:rsidRPr="00E04574" w14:paraId="1CE974D2" w14:textId="77777777" w:rsidTr="00966B23">
        <w:trPr>
          <w:trHeight w:val="615"/>
        </w:trPr>
        <w:tc>
          <w:tcPr>
            <w:tcW w:w="1239" w:type="pct"/>
          </w:tcPr>
          <w:p w14:paraId="6AAD1424"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Issue</w:t>
            </w:r>
          </w:p>
        </w:tc>
        <w:tc>
          <w:tcPr>
            <w:tcW w:w="3761" w:type="pct"/>
            <w:tcBorders>
              <w:top w:val="single" w:sz="4" w:space="0" w:color="007F00"/>
              <w:bottom w:val="single" w:sz="4" w:space="0" w:color="007F00"/>
            </w:tcBorders>
          </w:tcPr>
          <w:p w14:paraId="0CEA8B2A" w14:textId="14D3B6C1" w:rsidR="009E1613" w:rsidRPr="00E04574" w:rsidRDefault="009E1613" w:rsidP="00A17EDF">
            <w:pPr>
              <w:spacing w:before="60" w:after="60"/>
              <w:rPr>
                <w:rFonts w:ascii="Arial" w:hAnsi="Arial" w:cs="Arial"/>
                <w:sz w:val="24"/>
                <w:szCs w:val="24"/>
              </w:rPr>
            </w:pPr>
          </w:p>
        </w:tc>
      </w:tr>
      <w:tr w:rsidR="00A17EDF" w:rsidRPr="00E04574" w14:paraId="3A724825" w14:textId="77777777" w:rsidTr="00966B23">
        <w:trPr>
          <w:trHeight w:val="615"/>
        </w:trPr>
        <w:tc>
          <w:tcPr>
            <w:tcW w:w="1239" w:type="pct"/>
          </w:tcPr>
          <w:p w14:paraId="4333565C"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Publisher</w:t>
            </w:r>
          </w:p>
        </w:tc>
        <w:tc>
          <w:tcPr>
            <w:tcW w:w="3761" w:type="pct"/>
            <w:tcBorders>
              <w:top w:val="single" w:sz="4" w:space="0" w:color="007F00"/>
              <w:bottom w:val="single" w:sz="4" w:space="0" w:color="007F00"/>
            </w:tcBorders>
          </w:tcPr>
          <w:p w14:paraId="2384D87F" w14:textId="41428CA7" w:rsidR="009E1613" w:rsidRPr="00966B23" w:rsidRDefault="00063F8D" w:rsidP="00461A58">
            <w:pPr>
              <w:pStyle w:val="Default"/>
              <w:rPr>
                <w:rFonts w:ascii="Times New Roman" w:hAnsi="Times New Roman" w:cs="Times New Roman"/>
                <w:sz w:val="20"/>
                <w:szCs w:val="20"/>
              </w:rPr>
            </w:pPr>
            <w:r w:rsidRPr="00966B23">
              <w:rPr>
                <w:rFonts w:ascii="Times New Roman" w:hAnsi="Times New Roman" w:cs="Times New Roman"/>
                <w:color w:val="FF0000"/>
                <w:sz w:val="20"/>
                <w:szCs w:val="20"/>
                <w:shd w:val="clear" w:color="auto" w:fill="FFFFFF"/>
              </w:rPr>
              <w:t xml:space="preserve"> </w:t>
            </w:r>
            <w:r w:rsidR="00966B23" w:rsidRPr="00966B23">
              <w:rPr>
                <w:rFonts w:ascii="Times New Roman" w:hAnsi="Times New Roman" w:cs="Times New Roman"/>
                <w:sz w:val="20"/>
                <w:szCs w:val="20"/>
              </w:rPr>
              <w:t>Bangladesh Institute of Administration and Management (BIAM), Dhaka, Bangladesh</w:t>
            </w:r>
          </w:p>
        </w:tc>
      </w:tr>
      <w:tr w:rsidR="00A17EDF" w:rsidRPr="00E04574" w14:paraId="20CFBD3A" w14:textId="77777777" w:rsidTr="00966B23">
        <w:trPr>
          <w:trHeight w:val="615"/>
        </w:trPr>
        <w:tc>
          <w:tcPr>
            <w:tcW w:w="1239" w:type="pct"/>
          </w:tcPr>
          <w:p w14:paraId="4D467C45"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Publication Date</w:t>
            </w:r>
          </w:p>
        </w:tc>
        <w:tc>
          <w:tcPr>
            <w:tcW w:w="3761" w:type="pct"/>
            <w:tcBorders>
              <w:top w:val="single" w:sz="4" w:space="0" w:color="007F00"/>
              <w:bottom w:val="single" w:sz="4" w:space="0" w:color="007F00"/>
            </w:tcBorders>
          </w:tcPr>
          <w:p w14:paraId="241A5230" w14:textId="08FF3EDC" w:rsidR="009E1613" w:rsidRPr="00966B23" w:rsidRDefault="00966B23" w:rsidP="00637277">
            <w:pPr>
              <w:rPr>
                <w:rFonts w:ascii="Times New Roman" w:hAnsi="Times New Roman" w:cs="Times New Roman"/>
                <w:b/>
                <w:sz w:val="20"/>
                <w:szCs w:val="20"/>
                <w:u w:val="single"/>
              </w:rPr>
            </w:pPr>
            <w:r w:rsidRPr="00966B23">
              <w:rPr>
                <w:rFonts w:ascii="Times New Roman" w:hAnsi="Times New Roman" w:cs="Times New Roman"/>
                <w:sz w:val="20"/>
                <w:szCs w:val="20"/>
              </w:rPr>
              <w:t xml:space="preserve">December </w:t>
            </w:r>
            <w:r w:rsidRPr="00966B23">
              <w:rPr>
                <w:rFonts w:ascii="Times New Roman" w:hAnsi="Times New Roman" w:cs="Times New Roman"/>
                <w:sz w:val="20"/>
                <w:szCs w:val="20"/>
              </w:rPr>
              <w:t>22-23, 2017</w:t>
            </w:r>
          </w:p>
        </w:tc>
      </w:tr>
      <w:tr w:rsidR="00A17EDF" w:rsidRPr="00E04574" w14:paraId="53B04CE6" w14:textId="77777777" w:rsidTr="00966B23">
        <w:trPr>
          <w:trHeight w:val="615"/>
        </w:trPr>
        <w:tc>
          <w:tcPr>
            <w:tcW w:w="1239" w:type="pct"/>
          </w:tcPr>
          <w:p w14:paraId="5C9B1FFA" w14:textId="5F330B9A"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IS</w:t>
            </w:r>
            <w:r w:rsidR="0085601E" w:rsidRPr="00966B23">
              <w:rPr>
                <w:rFonts w:ascii="Times New Roman" w:hAnsi="Times New Roman" w:cs="Times New Roman"/>
                <w:color w:val="007F00"/>
                <w:sz w:val="20"/>
                <w:szCs w:val="20"/>
              </w:rPr>
              <w:t>B</w:t>
            </w:r>
            <w:r w:rsidRPr="00966B23">
              <w:rPr>
                <w:rFonts w:ascii="Times New Roman" w:hAnsi="Times New Roman" w:cs="Times New Roman"/>
                <w:color w:val="007F00"/>
                <w:sz w:val="20"/>
                <w:szCs w:val="20"/>
              </w:rPr>
              <w:t>N</w:t>
            </w:r>
          </w:p>
        </w:tc>
        <w:tc>
          <w:tcPr>
            <w:tcW w:w="3761" w:type="pct"/>
            <w:tcBorders>
              <w:top w:val="single" w:sz="4" w:space="0" w:color="007F00"/>
              <w:bottom w:val="single" w:sz="4" w:space="0" w:color="007F00"/>
            </w:tcBorders>
          </w:tcPr>
          <w:p w14:paraId="4626A5B8" w14:textId="26EB1BD3" w:rsidR="009E1613" w:rsidRPr="00966B23" w:rsidRDefault="00EC5C86" w:rsidP="006B0A01">
            <w:pPr>
              <w:rPr>
                <w:rFonts w:ascii="Times New Roman" w:hAnsi="Times New Roman" w:cs="Times New Roman"/>
                <w:bCs/>
                <w:color w:val="000000" w:themeColor="text1"/>
                <w:sz w:val="20"/>
                <w:szCs w:val="20"/>
              </w:rPr>
            </w:pPr>
            <w:r w:rsidRPr="00966B23">
              <w:rPr>
                <w:rFonts w:ascii="Times New Roman" w:hAnsi="Times New Roman" w:cs="Times New Roman"/>
                <w:color w:val="000000" w:themeColor="text1"/>
                <w:sz w:val="20"/>
                <w:szCs w:val="20"/>
                <w:shd w:val="clear" w:color="auto" w:fill="FFFFFF"/>
              </w:rPr>
              <w:t xml:space="preserve"> </w:t>
            </w:r>
            <w:r w:rsidR="004201EC" w:rsidRPr="004201EC">
              <w:rPr>
                <w:rFonts w:ascii="Times New Roman" w:hAnsi="Times New Roman" w:cs="Times New Roman"/>
                <w:color w:val="000000" w:themeColor="text1"/>
                <w:sz w:val="20"/>
                <w:szCs w:val="20"/>
                <w:shd w:val="clear" w:color="auto" w:fill="FFFFFF"/>
              </w:rPr>
              <w:t>978-1-925488-59-3</w:t>
            </w:r>
          </w:p>
        </w:tc>
      </w:tr>
      <w:tr w:rsidR="00A17EDF" w:rsidRPr="00E04574" w14:paraId="4A469A99" w14:textId="77777777" w:rsidTr="00966B23">
        <w:trPr>
          <w:trHeight w:val="615"/>
        </w:trPr>
        <w:tc>
          <w:tcPr>
            <w:tcW w:w="1239" w:type="pct"/>
          </w:tcPr>
          <w:p w14:paraId="2D82F137"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DOI</w:t>
            </w:r>
          </w:p>
        </w:tc>
        <w:tc>
          <w:tcPr>
            <w:tcW w:w="3761" w:type="pct"/>
            <w:tcBorders>
              <w:top w:val="single" w:sz="4" w:space="0" w:color="007F00"/>
              <w:bottom w:val="single" w:sz="4" w:space="0" w:color="007F00"/>
            </w:tcBorders>
          </w:tcPr>
          <w:p w14:paraId="136CA6C5" w14:textId="77777777" w:rsidR="009E1613" w:rsidRPr="00966B23" w:rsidRDefault="009E1613" w:rsidP="00A17EDF">
            <w:pPr>
              <w:spacing w:before="60" w:after="60"/>
              <w:rPr>
                <w:rFonts w:ascii="Times New Roman" w:hAnsi="Times New Roman" w:cs="Times New Roman"/>
                <w:sz w:val="20"/>
                <w:szCs w:val="20"/>
              </w:rPr>
            </w:pPr>
          </w:p>
        </w:tc>
      </w:tr>
      <w:tr w:rsidR="00A17EDF" w:rsidRPr="00E04574" w14:paraId="11ED3BBD" w14:textId="77777777" w:rsidTr="00966B23">
        <w:trPr>
          <w:trHeight w:val="615"/>
        </w:trPr>
        <w:tc>
          <w:tcPr>
            <w:tcW w:w="1239" w:type="pct"/>
          </w:tcPr>
          <w:p w14:paraId="11A5C0EB"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URL</w:t>
            </w:r>
          </w:p>
        </w:tc>
        <w:tc>
          <w:tcPr>
            <w:tcW w:w="3761" w:type="pct"/>
            <w:tcBorders>
              <w:top w:val="single" w:sz="4" w:space="0" w:color="007F00"/>
              <w:bottom w:val="single" w:sz="4" w:space="0" w:color="007F00"/>
            </w:tcBorders>
          </w:tcPr>
          <w:p w14:paraId="1EE6A8FA" w14:textId="79816954" w:rsidR="009E1613" w:rsidRPr="00966B23" w:rsidRDefault="00854B04" w:rsidP="00A17EDF">
            <w:pPr>
              <w:spacing w:before="60" w:after="60"/>
              <w:rPr>
                <w:rFonts w:ascii="Times New Roman" w:hAnsi="Times New Roman" w:cs="Times New Roman"/>
                <w:sz w:val="20"/>
                <w:szCs w:val="20"/>
              </w:rPr>
            </w:pPr>
            <w:r w:rsidRPr="00854B04">
              <w:rPr>
                <w:rFonts w:ascii="Times New Roman" w:hAnsi="Times New Roman" w:cs="Times New Roman"/>
                <w:sz w:val="20"/>
                <w:szCs w:val="20"/>
              </w:rPr>
              <w:t>http://www.biam.org.bd</w:t>
            </w:r>
          </w:p>
        </w:tc>
      </w:tr>
      <w:tr w:rsidR="00A17EDF" w:rsidRPr="00E04574" w14:paraId="234E10A3" w14:textId="77777777" w:rsidTr="00966B23">
        <w:trPr>
          <w:trHeight w:val="615"/>
        </w:trPr>
        <w:tc>
          <w:tcPr>
            <w:tcW w:w="1239" w:type="pct"/>
          </w:tcPr>
          <w:p w14:paraId="55198EFC"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Other Related Info.</w:t>
            </w:r>
          </w:p>
        </w:tc>
        <w:tc>
          <w:tcPr>
            <w:tcW w:w="3761" w:type="pct"/>
            <w:tcBorders>
              <w:top w:val="single" w:sz="4" w:space="0" w:color="007F00"/>
              <w:bottom w:val="single" w:sz="4" w:space="0" w:color="007F00"/>
            </w:tcBorders>
          </w:tcPr>
          <w:p w14:paraId="508F44C5" w14:textId="77777777" w:rsidR="009E1613" w:rsidRPr="00966B23" w:rsidRDefault="009E1613" w:rsidP="00A17EDF">
            <w:pPr>
              <w:spacing w:before="60" w:after="60"/>
              <w:rPr>
                <w:rFonts w:ascii="Times New Roman" w:hAnsi="Times New Roman" w:cs="Times New Roman"/>
                <w:sz w:val="20"/>
                <w:szCs w:val="20"/>
              </w:rPr>
            </w:pPr>
          </w:p>
        </w:tc>
      </w:tr>
      <w:tr w:rsidR="00A17EDF" w:rsidRPr="00E04574" w14:paraId="6A8D4520" w14:textId="77777777" w:rsidTr="00966B23">
        <w:trPr>
          <w:trHeight w:val="1186"/>
        </w:trPr>
        <w:tc>
          <w:tcPr>
            <w:tcW w:w="1239" w:type="pct"/>
          </w:tcPr>
          <w:p w14:paraId="04E0F33E"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Keywords</w:t>
            </w:r>
          </w:p>
        </w:tc>
        <w:tc>
          <w:tcPr>
            <w:tcW w:w="3761" w:type="pct"/>
            <w:tcBorders>
              <w:top w:val="single" w:sz="4" w:space="0" w:color="007F00"/>
              <w:bottom w:val="single" w:sz="4" w:space="0" w:color="007F00"/>
            </w:tcBorders>
          </w:tcPr>
          <w:p w14:paraId="44E04393" w14:textId="2AFF1DFF" w:rsidR="009E1613" w:rsidRPr="00854B04" w:rsidRDefault="00745A15" w:rsidP="00966B23">
            <w:pPr>
              <w:ind w:right="1530"/>
              <w:rPr>
                <w:rFonts w:ascii="Times New Roman" w:hAnsi="Times New Roman" w:cs="Times New Roman"/>
                <w:iCs/>
                <w:sz w:val="20"/>
                <w:szCs w:val="20"/>
              </w:rPr>
            </w:pPr>
            <w:r w:rsidRPr="00966B23">
              <w:rPr>
                <w:rFonts w:ascii="Times New Roman" w:hAnsi="Times New Roman" w:cs="Times New Roman"/>
                <w:kern w:val="0"/>
                <w:sz w:val="20"/>
                <w:szCs w:val="20"/>
              </w:rPr>
              <w:t xml:space="preserve"> </w:t>
            </w:r>
            <w:r w:rsidR="00966B23" w:rsidRPr="00854B04">
              <w:rPr>
                <w:rFonts w:ascii="Times New Roman" w:hAnsi="Times New Roman" w:cs="Times New Roman"/>
                <w:iCs/>
                <w:sz w:val="20"/>
                <w:szCs w:val="20"/>
              </w:rPr>
              <w:t xml:space="preserve">Information and Communication Technology, </w:t>
            </w:r>
            <w:proofErr w:type="spellStart"/>
            <w:r w:rsidR="00966B23" w:rsidRPr="00854B04">
              <w:rPr>
                <w:rFonts w:ascii="Times New Roman" w:hAnsi="Times New Roman" w:cs="Times New Roman"/>
                <w:iCs/>
                <w:sz w:val="20"/>
                <w:szCs w:val="20"/>
              </w:rPr>
              <w:t>EduTech</w:t>
            </w:r>
            <w:proofErr w:type="spellEnd"/>
            <w:r w:rsidR="00966B23" w:rsidRPr="00854B04">
              <w:rPr>
                <w:rFonts w:ascii="Times New Roman" w:hAnsi="Times New Roman" w:cs="Times New Roman"/>
                <w:iCs/>
                <w:sz w:val="20"/>
                <w:szCs w:val="20"/>
              </w:rPr>
              <w:t xml:space="preserve">, </w:t>
            </w:r>
            <w:proofErr w:type="spellStart"/>
            <w:r w:rsidR="00966B23" w:rsidRPr="00854B04">
              <w:rPr>
                <w:rFonts w:ascii="Times New Roman" w:hAnsi="Times New Roman" w:cs="Times New Roman"/>
                <w:iCs/>
                <w:sz w:val="20"/>
                <w:szCs w:val="20"/>
              </w:rPr>
              <w:t>Useracceptance</w:t>
            </w:r>
            <w:proofErr w:type="spellEnd"/>
            <w:r w:rsidR="00966B23" w:rsidRPr="00854B04">
              <w:rPr>
                <w:rFonts w:ascii="Times New Roman" w:hAnsi="Times New Roman" w:cs="Times New Roman"/>
                <w:iCs/>
                <w:sz w:val="20"/>
                <w:szCs w:val="20"/>
              </w:rPr>
              <w:t>, facilitating condition, Effort Expectanc</w:t>
            </w:r>
            <w:r w:rsidR="00966B23" w:rsidRPr="00854B04">
              <w:rPr>
                <w:rFonts w:ascii="Times New Roman" w:hAnsi="Times New Roman" w:cs="Times New Roman"/>
                <w:iCs/>
                <w:sz w:val="20"/>
                <w:szCs w:val="20"/>
              </w:rPr>
              <w:t>y</w:t>
            </w:r>
          </w:p>
        </w:tc>
      </w:tr>
      <w:tr w:rsidR="00966B23" w:rsidRPr="00E04574" w14:paraId="5A10DEC8" w14:textId="77777777" w:rsidTr="00966B23">
        <w:trPr>
          <w:trHeight w:val="1186"/>
        </w:trPr>
        <w:tc>
          <w:tcPr>
            <w:tcW w:w="1239" w:type="pct"/>
          </w:tcPr>
          <w:p w14:paraId="48A1DDF3" w14:textId="3D3B50A2" w:rsidR="00966B23" w:rsidRPr="00966B23" w:rsidRDefault="00966B23" w:rsidP="00966B23">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Citation</w:t>
            </w:r>
          </w:p>
        </w:tc>
        <w:tc>
          <w:tcPr>
            <w:tcW w:w="3761" w:type="pct"/>
            <w:tcBorders>
              <w:top w:val="single" w:sz="4" w:space="0" w:color="007F00"/>
              <w:bottom w:val="single" w:sz="4" w:space="0" w:color="007F00"/>
            </w:tcBorders>
          </w:tcPr>
          <w:p w14:paraId="33FF9F3C" w14:textId="77777777" w:rsidR="00966B23" w:rsidRPr="00966B23" w:rsidRDefault="00966B23" w:rsidP="00966B23">
            <w:pPr>
              <w:pStyle w:val="NoSpacing"/>
              <w:jc w:val="center"/>
              <w:rPr>
                <w:rFonts w:ascii="Times New Roman" w:hAnsi="Times New Roman"/>
                <w:bCs/>
                <w:sz w:val="20"/>
                <w:szCs w:val="20"/>
              </w:rPr>
            </w:pPr>
            <w:r w:rsidRPr="00966B23">
              <w:rPr>
                <w:rFonts w:ascii="Times New Roman" w:hAnsi="Times New Roman"/>
                <w:bCs/>
                <w:sz w:val="20"/>
                <w:szCs w:val="20"/>
              </w:rPr>
              <w:t>Md. Khaled Amin*</w:t>
            </w:r>
            <w:r w:rsidRPr="00966B23">
              <w:rPr>
                <w:rFonts w:ascii="Times New Roman" w:hAnsi="Times New Roman"/>
                <w:bCs/>
                <w:sz w:val="20"/>
                <w:szCs w:val="20"/>
                <w:vertAlign w:val="superscript"/>
              </w:rPr>
              <w:t>1</w:t>
            </w:r>
            <w:r w:rsidRPr="00966B23">
              <w:rPr>
                <w:rFonts w:ascii="Times New Roman" w:hAnsi="Times New Roman"/>
                <w:bCs/>
                <w:sz w:val="20"/>
                <w:szCs w:val="20"/>
              </w:rPr>
              <w:t xml:space="preserve">, </w:t>
            </w:r>
            <w:proofErr w:type="spellStart"/>
            <w:r w:rsidRPr="00966B23">
              <w:rPr>
                <w:rFonts w:ascii="Times New Roman" w:hAnsi="Times New Roman"/>
                <w:bCs/>
                <w:sz w:val="20"/>
                <w:szCs w:val="20"/>
              </w:rPr>
              <w:t>Saihad</w:t>
            </w:r>
            <w:proofErr w:type="spellEnd"/>
            <w:r w:rsidRPr="00966B23">
              <w:rPr>
                <w:rFonts w:ascii="Times New Roman" w:hAnsi="Times New Roman"/>
                <w:bCs/>
                <w:sz w:val="20"/>
                <w:szCs w:val="20"/>
              </w:rPr>
              <w:t xml:space="preserve"> Shahid Rahman</w:t>
            </w:r>
            <w:r w:rsidRPr="00966B23">
              <w:rPr>
                <w:rFonts w:ascii="Times New Roman" w:hAnsi="Times New Roman"/>
                <w:bCs/>
                <w:sz w:val="20"/>
                <w:szCs w:val="20"/>
                <w:vertAlign w:val="superscript"/>
              </w:rPr>
              <w:t>2</w:t>
            </w:r>
            <w:r w:rsidRPr="00966B23">
              <w:rPr>
                <w:rFonts w:ascii="Times New Roman" w:hAnsi="Times New Roman"/>
                <w:bCs/>
                <w:sz w:val="20"/>
                <w:szCs w:val="20"/>
              </w:rPr>
              <w:t>, A.K.M Kamrul Haque</w:t>
            </w:r>
            <w:r w:rsidRPr="00966B23">
              <w:rPr>
                <w:rFonts w:ascii="Times New Roman" w:hAnsi="Times New Roman"/>
                <w:bCs/>
                <w:sz w:val="20"/>
                <w:szCs w:val="20"/>
                <w:vertAlign w:val="superscript"/>
              </w:rPr>
              <w:t>3</w:t>
            </w:r>
            <w:r w:rsidRPr="00966B23">
              <w:rPr>
                <w:rFonts w:ascii="Times New Roman" w:hAnsi="Times New Roman"/>
                <w:bCs/>
                <w:sz w:val="20"/>
                <w:szCs w:val="20"/>
              </w:rPr>
              <w:t xml:space="preserve"> </w:t>
            </w:r>
          </w:p>
          <w:p w14:paraId="26C007C6" w14:textId="77777777" w:rsidR="00966B23" w:rsidRPr="00966B23" w:rsidRDefault="00966B23" w:rsidP="00966B23">
            <w:pPr>
              <w:jc w:val="center"/>
              <w:rPr>
                <w:rFonts w:ascii="Times New Roman" w:hAnsi="Times New Roman" w:cs="Times New Roman"/>
                <w:bCs/>
                <w:sz w:val="20"/>
                <w:szCs w:val="20"/>
              </w:rPr>
            </w:pPr>
            <w:r w:rsidRPr="00966B23">
              <w:rPr>
                <w:rFonts w:ascii="Times New Roman" w:hAnsi="Times New Roman" w:cs="Times New Roman"/>
                <w:bCs/>
                <w:sz w:val="20"/>
                <w:szCs w:val="20"/>
              </w:rPr>
              <w:t>Examining Students’ Behavioral Intention to Adopt ICTs at Tertiary Level.</w:t>
            </w:r>
          </w:p>
          <w:p w14:paraId="393FA7B0" w14:textId="209CA200" w:rsidR="00966B23" w:rsidRPr="00966B23" w:rsidRDefault="00966B23" w:rsidP="00966B23">
            <w:pPr>
              <w:rPr>
                <w:rFonts w:ascii="Times New Roman" w:hAnsi="Times New Roman" w:cs="Times New Roman"/>
                <w:sz w:val="20"/>
                <w:szCs w:val="20"/>
                <w:lang w:bidi="bn-BD"/>
              </w:rPr>
            </w:pPr>
          </w:p>
        </w:tc>
      </w:tr>
      <w:tr w:rsidR="00966B23" w:rsidRPr="00E04574" w14:paraId="13EB7E2D" w14:textId="77777777" w:rsidTr="00966B23">
        <w:trPr>
          <w:trHeight w:val="1186"/>
        </w:trPr>
        <w:tc>
          <w:tcPr>
            <w:tcW w:w="1239" w:type="pct"/>
          </w:tcPr>
          <w:p w14:paraId="6510077E" w14:textId="77777777" w:rsidR="00966B23" w:rsidRPr="00E04574" w:rsidRDefault="00966B23" w:rsidP="00966B23">
            <w:pPr>
              <w:spacing w:before="60" w:after="60"/>
              <w:rPr>
                <w:rFonts w:ascii="Arial" w:hAnsi="Arial" w:cs="Arial"/>
                <w:color w:val="007F00"/>
                <w:sz w:val="24"/>
                <w:szCs w:val="24"/>
              </w:rPr>
            </w:pPr>
          </w:p>
        </w:tc>
        <w:tc>
          <w:tcPr>
            <w:tcW w:w="3761" w:type="pct"/>
            <w:tcBorders>
              <w:top w:val="single" w:sz="4" w:space="0" w:color="007F00"/>
              <w:bottom w:val="single" w:sz="18" w:space="0" w:color="007F00"/>
            </w:tcBorders>
          </w:tcPr>
          <w:p w14:paraId="32FC4B8F" w14:textId="77777777" w:rsidR="00966B23" w:rsidRPr="00F2437E" w:rsidRDefault="00966B23" w:rsidP="00966B23">
            <w:pPr>
              <w:pStyle w:val="NoSpacing"/>
              <w:jc w:val="center"/>
              <w:rPr>
                <w:rFonts w:cs="Calibri"/>
                <w:b/>
                <w:sz w:val="24"/>
                <w:szCs w:val="28"/>
              </w:rPr>
            </w:pPr>
          </w:p>
        </w:tc>
      </w:tr>
    </w:tbl>
    <w:p w14:paraId="543F824F" w14:textId="77777777" w:rsidR="009E1613" w:rsidRPr="00E04574" w:rsidRDefault="005C4D55">
      <w:pPr>
        <w:rPr>
          <w:rFonts w:ascii="Arial" w:hAnsi="Arial" w:cs="Arial"/>
          <w:sz w:val="24"/>
          <w:szCs w:val="24"/>
        </w:rPr>
      </w:pPr>
      <w:r w:rsidRPr="00E04574">
        <w:rPr>
          <w:rFonts w:ascii="Arial" w:hAnsi="Arial" w:cs="Arial"/>
          <w:sz w:val="24"/>
          <w:szCs w:val="24"/>
        </w:rPr>
        <w:br w:type="page"/>
      </w:r>
    </w:p>
    <w:p w14:paraId="237700DE" w14:textId="77777777" w:rsidR="009E1613" w:rsidRPr="00E04574"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E04574" w14:paraId="0647D8A6" w14:textId="77777777" w:rsidTr="00B46A51">
        <w:tc>
          <w:tcPr>
            <w:tcW w:w="5000" w:type="pct"/>
            <w:tcBorders>
              <w:bottom w:val="single" w:sz="18" w:space="0" w:color="007F00"/>
            </w:tcBorders>
          </w:tcPr>
          <w:p w14:paraId="27691B44"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Abstract</w:t>
            </w:r>
          </w:p>
        </w:tc>
      </w:tr>
      <w:tr w:rsidR="00D77F1B" w:rsidRPr="00E04574" w14:paraId="2A420353" w14:textId="77777777" w:rsidTr="00B46A51">
        <w:tc>
          <w:tcPr>
            <w:tcW w:w="5000" w:type="pct"/>
            <w:tcBorders>
              <w:top w:val="single" w:sz="18" w:space="0" w:color="007F00"/>
              <w:bottom w:val="single" w:sz="18" w:space="0" w:color="007F00"/>
            </w:tcBorders>
          </w:tcPr>
          <w:p w14:paraId="0A02E4F7" w14:textId="35BE4DC4" w:rsidR="00966B23" w:rsidRPr="00337BAA" w:rsidRDefault="00966B23" w:rsidP="004C6097">
            <w:pPr>
              <w:ind w:right="1530"/>
              <w:jc w:val="both"/>
              <w:rPr>
                <w:rFonts w:cs="Calibri"/>
                <w:sz w:val="20"/>
                <w:szCs w:val="24"/>
              </w:rPr>
            </w:pPr>
            <w:r w:rsidRPr="00337BAA">
              <w:rPr>
                <w:rFonts w:cs="Calibri"/>
                <w:sz w:val="20"/>
                <w:szCs w:val="24"/>
              </w:rPr>
              <w:t xml:space="preserve"> The advancements of Information and Communication technology (ICT) have initiated numerous changes in the instructional design methodology, which has required educators as well as the ICTs service providers to overcome numerous challenges. In order to facilitate instructional facilities, various ICTs enabled products and services </w:t>
            </w:r>
            <w:r w:rsidRPr="00337BAA">
              <w:rPr>
                <w:rFonts w:cs="Calibri"/>
                <w:sz w:val="20"/>
              </w:rPr>
              <w:t>such as Digital Board, Moodle, Google Class Room, Moodle, Smart Printing Technology, Virtual Desktop, Education ERP, and E-Resources have already</w:t>
            </w:r>
            <w:r w:rsidRPr="00337BAA">
              <w:rPr>
                <w:rFonts w:cs="Calibri"/>
                <w:sz w:val="20"/>
                <w:szCs w:val="24"/>
              </w:rPr>
              <w:t xml:space="preserve"> been introduced and implemented by several universities in Bangladesh. However, from the user perspective it is quite evident to examine users’ </w:t>
            </w:r>
            <w:r>
              <w:rPr>
                <w:rFonts w:cs="Calibri"/>
                <w:sz w:val="20"/>
                <w:szCs w:val="24"/>
              </w:rPr>
              <w:t xml:space="preserve">continuous </w:t>
            </w:r>
            <w:r w:rsidRPr="00337BAA">
              <w:rPr>
                <w:rFonts w:cs="Calibri"/>
                <w:sz w:val="20"/>
                <w:szCs w:val="24"/>
              </w:rPr>
              <w:t xml:space="preserve">intention to use ICTs. Therefore, this study sought to ascertain the possible determinants that sway students’ behavioral intention to adopt ICTs at tertiary level education in </w:t>
            </w:r>
            <w:r w:rsidRPr="00D23387">
              <w:rPr>
                <w:rFonts w:cs="Calibri"/>
                <w:sz w:val="20"/>
                <w:szCs w:val="24"/>
              </w:rPr>
              <w:t>Bangladesh</w:t>
            </w:r>
            <w:r>
              <w:rPr>
                <w:rFonts w:cs="Calibri"/>
                <w:sz w:val="20"/>
                <w:szCs w:val="24"/>
              </w:rPr>
              <w:t xml:space="preserve"> </w:t>
            </w:r>
            <w:r w:rsidRPr="00D23387">
              <w:rPr>
                <w:rFonts w:cs="Calibri"/>
                <w:sz w:val="20"/>
                <w:szCs w:val="24"/>
              </w:rPr>
              <w:t xml:space="preserve">in order to </w:t>
            </w:r>
            <w:r>
              <w:rPr>
                <w:rFonts w:cs="Calibri"/>
                <w:sz w:val="20"/>
                <w:szCs w:val="24"/>
              </w:rPr>
              <w:t>formulate</w:t>
            </w:r>
            <w:r w:rsidRPr="00D23387">
              <w:rPr>
                <w:rFonts w:cs="Calibri"/>
                <w:sz w:val="20"/>
                <w:szCs w:val="24"/>
              </w:rPr>
              <w:t xml:space="preserve"> </w:t>
            </w:r>
            <w:r>
              <w:rPr>
                <w:rFonts w:cs="Calibri"/>
                <w:sz w:val="20"/>
                <w:szCs w:val="24"/>
              </w:rPr>
              <w:t>effective radical</w:t>
            </w:r>
            <w:r w:rsidRPr="00D23387">
              <w:rPr>
                <w:rFonts w:cs="Calibri"/>
                <w:sz w:val="20"/>
                <w:szCs w:val="24"/>
              </w:rPr>
              <w:t xml:space="preserve"> </w:t>
            </w:r>
            <w:r>
              <w:rPr>
                <w:rFonts w:cs="Calibri"/>
                <w:sz w:val="20"/>
                <w:szCs w:val="24"/>
              </w:rPr>
              <w:t xml:space="preserve">strategies </w:t>
            </w:r>
            <w:r w:rsidRPr="00D23387">
              <w:rPr>
                <w:rFonts w:cs="Calibri"/>
                <w:sz w:val="20"/>
                <w:szCs w:val="24"/>
              </w:rPr>
              <w:t xml:space="preserve">to ease the transition from the use of traditional teaching methodologies to </w:t>
            </w:r>
            <w:r>
              <w:rPr>
                <w:rFonts w:cs="Calibri"/>
                <w:sz w:val="20"/>
                <w:szCs w:val="24"/>
              </w:rPr>
              <w:t>Education Technologies.</w:t>
            </w:r>
            <w:r w:rsidRPr="00FC6CFC">
              <w:rPr>
                <w:rFonts w:cs="Calibri"/>
                <w:color w:val="FF0000"/>
                <w:sz w:val="20"/>
                <w:szCs w:val="24"/>
              </w:rPr>
              <w:t xml:space="preserve"> </w:t>
            </w:r>
            <w:r w:rsidRPr="00337BAA">
              <w:rPr>
                <w:rFonts w:cs="Calibri"/>
                <w:sz w:val="20"/>
                <w:szCs w:val="24"/>
              </w:rPr>
              <w:t>Using UTAUT model as a based theory, this study analyzed one hundred samples drawn randomly from three departments of a private university, and processed through a standard structural equation modeling simulator. All respondents were provided with a structured and self-administrated questionnaire, and advised to quantify their responses on a 7-point Likert scale ranging from Strongly Disagree(SD) to Strongly Agree(SA). Questionnaire items were primarily adopted from prior studies, pertinent to IT/IS diffusion, adoption, and acceptance. Results of the study found that the adoption and usage of ICTs at tertiary level were significantly influenced by variables; Performance Expectancy (PE), Effort Expectancy (EE), Social Influence (SI), and Facilitating Condition (FC) which is quite consistent with prior studies in this field. The study suggests couple of implications to the academic institutions of Bangladesh, and one of the most notable is to create sufficient awareness among the users by keeping them informed about the benefits of ICTs, as well as to improve infrastructure related to ICTs usage.</w:t>
            </w:r>
          </w:p>
          <w:p w14:paraId="2C169C84" w14:textId="77777777" w:rsidR="00966B23" w:rsidRPr="00337BAA" w:rsidRDefault="00966B23" w:rsidP="00966B23">
            <w:pPr>
              <w:ind w:right="1530"/>
              <w:jc w:val="both"/>
              <w:rPr>
                <w:rFonts w:cs="Calibri"/>
                <w:i/>
                <w:sz w:val="20"/>
                <w:szCs w:val="24"/>
              </w:rPr>
            </w:pPr>
          </w:p>
          <w:p w14:paraId="0D4EFCB9" w14:textId="20056510" w:rsidR="009E1613" w:rsidRPr="00E04574" w:rsidRDefault="009E1613" w:rsidP="004C6097">
            <w:pPr>
              <w:ind w:left="1440" w:right="1530"/>
              <w:rPr>
                <w:rFonts w:ascii="Arial" w:eastAsia="DengXian" w:hAnsi="Arial" w:cs="Arial"/>
                <w:sz w:val="24"/>
                <w:szCs w:val="24"/>
              </w:rPr>
            </w:pPr>
          </w:p>
        </w:tc>
      </w:tr>
      <w:tr w:rsidR="00D77F1B" w:rsidRPr="00E04574" w14:paraId="34514BD0" w14:textId="77777777" w:rsidTr="00B46A51">
        <w:tc>
          <w:tcPr>
            <w:tcW w:w="5000" w:type="pct"/>
            <w:tcBorders>
              <w:top w:val="single" w:sz="18" w:space="0" w:color="007F00"/>
              <w:bottom w:val="single" w:sz="18" w:space="0" w:color="007F00"/>
            </w:tcBorders>
          </w:tcPr>
          <w:p w14:paraId="418650E2" w14:textId="77777777" w:rsidR="00600FA6" w:rsidRPr="00E04574" w:rsidRDefault="00600FA6" w:rsidP="00D77F1B">
            <w:pPr>
              <w:spacing w:before="60" w:after="60"/>
              <w:rPr>
                <w:rFonts w:ascii="Arial" w:hAnsi="Arial" w:cs="Arial"/>
                <w:color w:val="007F00"/>
                <w:sz w:val="24"/>
                <w:szCs w:val="24"/>
              </w:rPr>
            </w:pPr>
          </w:p>
          <w:p w14:paraId="58D9BDC0"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Sustainable Development Goal(s) (SDG)</w:t>
            </w:r>
          </w:p>
        </w:tc>
      </w:tr>
      <w:tr w:rsidR="00D77F1B" w:rsidRPr="00E04574" w14:paraId="0DBACFBC" w14:textId="77777777" w:rsidTr="00B46A51">
        <w:tc>
          <w:tcPr>
            <w:tcW w:w="5000" w:type="pct"/>
            <w:tcBorders>
              <w:top w:val="single" w:sz="18" w:space="0" w:color="007F00"/>
              <w:bottom w:val="single" w:sz="18" w:space="0" w:color="007F00"/>
            </w:tcBorders>
          </w:tcPr>
          <w:p w14:paraId="2DD634F8" w14:textId="5D583D0D" w:rsidR="009E1613" w:rsidRPr="00E04574" w:rsidRDefault="009F2FAD" w:rsidP="00D77F1B">
            <w:pPr>
              <w:spacing w:before="60" w:after="60"/>
              <w:rPr>
                <w:rFonts w:ascii="Arial" w:hAnsi="Arial" w:cs="Arial"/>
                <w:sz w:val="24"/>
                <w:szCs w:val="24"/>
              </w:rPr>
            </w:pPr>
            <w:r w:rsidRPr="00E04574">
              <w:rPr>
                <w:rStyle w:val="fontstyle01"/>
                <w:rFonts w:ascii="Arial" w:hAnsi="Arial" w:cs="Arial"/>
              </w:rPr>
              <w:t>Goal</w:t>
            </w:r>
            <w:r w:rsidR="00CB700A" w:rsidRPr="00E04574">
              <w:rPr>
                <w:rStyle w:val="fontstyle01"/>
                <w:rFonts w:ascii="Arial" w:hAnsi="Arial" w:cs="Arial"/>
              </w:rPr>
              <w:t xml:space="preserve"> 0</w:t>
            </w:r>
            <w:r w:rsidR="00745A15" w:rsidRPr="00E04574">
              <w:rPr>
                <w:rStyle w:val="fontstyle01"/>
                <w:rFonts w:ascii="Arial" w:hAnsi="Arial" w:cs="Arial"/>
              </w:rPr>
              <w:t>9</w:t>
            </w:r>
            <w:r w:rsidRPr="00E04574">
              <w:rPr>
                <w:rStyle w:val="fontstyle01"/>
                <w:rFonts w:ascii="Arial" w:hAnsi="Arial" w:cs="Arial"/>
              </w:rPr>
              <w:t xml:space="preserve">: </w:t>
            </w:r>
            <w:r w:rsidR="00745A15" w:rsidRPr="00E04574">
              <w:rPr>
                <w:rStyle w:val="Strong"/>
                <w:rFonts w:ascii="Arial" w:hAnsi="Arial" w:cs="Arial"/>
                <w:b w:val="0"/>
                <w:bCs w:val="0"/>
                <w:sz w:val="24"/>
                <w:szCs w:val="24"/>
              </w:rPr>
              <w:t>Industry, innovation and infrastructure</w:t>
            </w:r>
          </w:p>
        </w:tc>
      </w:tr>
    </w:tbl>
    <w:p w14:paraId="52C01744" w14:textId="77777777" w:rsidR="009E1613" w:rsidRPr="00E04574" w:rsidRDefault="009E1613">
      <w:pPr>
        <w:rPr>
          <w:rFonts w:ascii="Arial" w:hAnsi="Arial" w:cs="Arial"/>
          <w:sz w:val="24"/>
          <w:szCs w:val="24"/>
        </w:rPr>
      </w:pPr>
    </w:p>
    <w:p w14:paraId="2E497FD8" w14:textId="77777777" w:rsidR="009E1613" w:rsidRPr="004A4533" w:rsidRDefault="009E1613">
      <w:pPr>
        <w:rPr>
          <w:rFonts w:ascii="Arial" w:hAnsi="Arial" w:cs="Arial"/>
          <w:sz w:val="24"/>
          <w:szCs w:val="24"/>
        </w:rPr>
      </w:pPr>
    </w:p>
    <w:sectPr w:rsidR="009E1613" w:rsidRPr="004A4533"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587B" w14:textId="77777777" w:rsidR="00E97876" w:rsidRDefault="00E97876">
      <w:pPr>
        <w:spacing w:after="0" w:line="240" w:lineRule="auto"/>
      </w:pPr>
      <w:r>
        <w:separator/>
      </w:r>
    </w:p>
  </w:endnote>
  <w:endnote w:type="continuationSeparator" w:id="0">
    <w:p w14:paraId="45002EA1" w14:textId="77777777" w:rsidR="00E97876" w:rsidRDefault="00E9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E1A"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6FF8" w14:textId="77777777" w:rsidR="00E97876" w:rsidRDefault="00E97876">
      <w:pPr>
        <w:spacing w:after="0" w:line="240" w:lineRule="auto"/>
      </w:pPr>
      <w:r>
        <w:separator/>
      </w:r>
    </w:p>
  </w:footnote>
  <w:footnote w:type="continuationSeparator" w:id="0">
    <w:p w14:paraId="3244694B" w14:textId="77777777" w:rsidR="00E97876" w:rsidRDefault="00E9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13E"/>
    <w:multiLevelType w:val="hybridMultilevel"/>
    <w:tmpl w:val="488EC2C8"/>
    <w:lvl w:ilvl="0" w:tplc="9CE21A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1E3E"/>
    <w:multiLevelType w:val="hybridMultilevel"/>
    <w:tmpl w:val="8BE42C30"/>
    <w:lvl w:ilvl="0" w:tplc="ABEC19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4031"/>
    <w:multiLevelType w:val="hybridMultilevel"/>
    <w:tmpl w:val="C3E26A60"/>
    <w:lvl w:ilvl="0" w:tplc="B7D86E8E">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C402CA"/>
    <w:multiLevelType w:val="hybridMultilevel"/>
    <w:tmpl w:val="18D62C8E"/>
    <w:lvl w:ilvl="0" w:tplc="91C0DD2A">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6A2F5133"/>
    <w:multiLevelType w:val="hybridMultilevel"/>
    <w:tmpl w:val="7798A8BA"/>
    <w:lvl w:ilvl="0" w:tplc="971C8732">
      <w:start w:val="1"/>
      <w:numFmt w:val="low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43888478">
    <w:abstractNumId w:val="2"/>
  </w:num>
  <w:num w:numId="2" w16cid:durableId="615720544">
    <w:abstractNumId w:val="5"/>
  </w:num>
  <w:num w:numId="3" w16cid:durableId="634263814">
    <w:abstractNumId w:val="3"/>
  </w:num>
  <w:num w:numId="4" w16cid:durableId="684288859">
    <w:abstractNumId w:val="6"/>
  </w:num>
  <w:num w:numId="5" w16cid:durableId="705063690">
    <w:abstractNumId w:val="8"/>
  </w:num>
  <w:num w:numId="6" w16cid:durableId="1964920445">
    <w:abstractNumId w:val="0"/>
  </w:num>
  <w:num w:numId="7" w16cid:durableId="440564769">
    <w:abstractNumId w:val="7"/>
  </w:num>
  <w:num w:numId="8" w16cid:durableId="1473984240">
    <w:abstractNumId w:val="4"/>
  </w:num>
  <w:num w:numId="9" w16cid:durableId="179506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52508"/>
    <w:rsid w:val="00063F8D"/>
    <w:rsid w:val="000656CC"/>
    <w:rsid w:val="000713B4"/>
    <w:rsid w:val="001206E4"/>
    <w:rsid w:val="00122C11"/>
    <w:rsid w:val="00122DC8"/>
    <w:rsid w:val="001538A8"/>
    <w:rsid w:val="00195462"/>
    <w:rsid w:val="001C7EEC"/>
    <w:rsid w:val="001E64E6"/>
    <w:rsid w:val="002019CC"/>
    <w:rsid w:val="00212F01"/>
    <w:rsid w:val="00264498"/>
    <w:rsid w:val="00284691"/>
    <w:rsid w:val="002902B8"/>
    <w:rsid w:val="002F0E33"/>
    <w:rsid w:val="00307F68"/>
    <w:rsid w:val="00336F8C"/>
    <w:rsid w:val="00343F94"/>
    <w:rsid w:val="00364375"/>
    <w:rsid w:val="00370FF6"/>
    <w:rsid w:val="003906A2"/>
    <w:rsid w:val="003A2D78"/>
    <w:rsid w:val="003B74EF"/>
    <w:rsid w:val="00410779"/>
    <w:rsid w:val="00410A16"/>
    <w:rsid w:val="004201EC"/>
    <w:rsid w:val="00420E68"/>
    <w:rsid w:val="0042137A"/>
    <w:rsid w:val="004547B7"/>
    <w:rsid w:val="00461A58"/>
    <w:rsid w:val="00472CA8"/>
    <w:rsid w:val="00481D59"/>
    <w:rsid w:val="0049538E"/>
    <w:rsid w:val="004A4533"/>
    <w:rsid w:val="004C6097"/>
    <w:rsid w:val="004D7EA4"/>
    <w:rsid w:val="004F05BE"/>
    <w:rsid w:val="004F7361"/>
    <w:rsid w:val="0054485D"/>
    <w:rsid w:val="0054778E"/>
    <w:rsid w:val="005604A1"/>
    <w:rsid w:val="005C4D55"/>
    <w:rsid w:val="005C5602"/>
    <w:rsid w:val="005F3AEC"/>
    <w:rsid w:val="00600FA6"/>
    <w:rsid w:val="00616A28"/>
    <w:rsid w:val="00620018"/>
    <w:rsid w:val="00637277"/>
    <w:rsid w:val="00637B6F"/>
    <w:rsid w:val="00657D65"/>
    <w:rsid w:val="00696873"/>
    <w:rsid w:val="00697515"/>
    <w:rsid w:val="006B0A01"/>
    <w:rsid w:val="006D6E3B"/>
    <w:rsid w:val="0070258F"/>
    <w:rsid w:val="00717A0E"/>
    <w:rsid w:val="007205A3"/>
    <w:rsid w:val="00741DCF"/>
    <w:rsid w:val="00745A15"/>
    <w:rsid w:val="00780438"/>
    <w:rsid w:val="007A25BE"/>
    <w:rsid w:val="007C6BAC"/>
    <w:rsid w:val="007F27DF"/>
    <w:rsid w:val="00803A80"/>
    <w:rsid w:val="0083492F"/>
    <w:rsid w:val="00854B04"/>
    <w:rsid w:val="0085601E"/>
    <w:rsid w:val="008566E9"/>
    <w:rsid w:val="00874D27"/>
    <w:rsid w:val="0088459B"/>
    <w:rsid w:val="008A488E"/>
    <w:rsid w:val="008A6500"/>
    <w:rsid w:val="008C53C9"/>
    <w:rsid w:val="008F2E13"/>
    <w:rsid w:val="00903E59"/>
    <w:rsid w:val="00921315"/>
    <w:rsid w:val="00926526"/>
    <w:rsid w:val="00942BC1"/>
    <w:rsid w:val="00961E9E"/>
    <w:rsid w:val="0096332F"/>
    <w:rsid w:val="00966B23"/>
    <w:rsid w:val="009963EB"/>
    <w:rsid w:val="009A7B9C"/>
    <w:rsid w:val="009E1613"/>
    <w:rsid w:val="009F2FAD"/>
    <w:rsid w:val="00A11A9D"/>
    <w:rsid w:val="00A30CF6"/>
    <w:rsid w:val="00A33B2E"/>
    <w:rsid w:val="00A93AEC"/>
    <w:rsid w:val="00A97389"/>
    <w:rsid w:val="00AD27F1"/>
    <w:rsid w:val="00AE08B3"/>
    <w:rsid w:val="00AE6C55"/>
    <w:rsid w:val="00AE7A43"/>
    <w:rsid w:val="00B007A7"/>
    <w:rsid w:val="00B035C4"/>
    <w:rsid w:val="00B20C9A"/>
    <w:rsid w:val="00B34103"/>
    <w:rsid w:val="00B900F8"/>
    <w:rsid w:val="00BB3A1C"/>
    <w:rsid w:val="00BB761F"/>
    <w:rsid w:val="00BC39BE"/>
    <w:rsid w:val="00BD0AD3"/>
    <w:rsid w:val="00BE3407"/>
    <w:rsid w:val="00C01EFA"/>
    <w:rsid w:val="00C063AE"/>
    <w:rsid w:val="00C17FD7"/>
    <w:rsid w:val="00C236C7"/>
    <w:rsid w:val="00C25140"/>
    <w:rsid w:val="00C27B55"/>
    <w:rsid w:val="00C511AD"/>
    <w:rsid w:val="00C742D5"/>
    <w:rsid w:val="00C9112F"/>
    <w:rsid w:val="00C95146"/>
    <w:rsid w:val="00CB700A"/>
    <w:rsid w:val="00CC6766"/>
    <w:rsid w:val="00D2666C"/>
    <w:rsid w:val="00D31C04"/>
    <w:rsid w:val="00D364E6"/>
    <w:rsid w:val="00D47D99"/>
    <w:rsid w:val="00D521AC"/>
    <w:rsid w:val="00D52D31"/>
    <w:rsid w:val="00DD7F9E"/>
    <w:rsid w:val="00E04574"/>
    <w:rsid w:val="00E06CF3"/>
    <w:rsid w:val="00E362ED"/>
    <w:rsid w:val="00E54472"/>
    <w:rsid w:val="00E54BAC"/>
    <w:rsid w:val="00E802E3"/>
    <w:rsid w:val="00E83463"/>
    <w:rsid w:val="00E97876"/>
    <w:rsid w:val="00EB0F40"/>
    <w:rsid w:val="00EB1176"/>
    <w:rsid w:val="00EB4B86"/>
    <w:rsid w:val="00EC4431"/>
    <w:rsid w:val="00EC5C86"/>
    <w:rsid w:val="00EC65AD"/>
    <w:rsid w:val="00ED5834"/>
    <w:rsid w:val="00EE13CB"/>
    <w:rsid w:val="00F13155"/>
    <w:rsid w:val="00F5647C"/>
    <w:rsid w:val="00FB4665"/>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 w:type="paragraph" w:styleId="NoSpacing">
    <w:name w:val="No Spacing"/>
    <w:uiPriority w:val="1"/>
    <w:qFormat/>
    <w:rsid w:val="00966B23"/>
    <w:pPr>
      <w:spacing w:after="0" w:line="240" w:lineRule="auto"/>
    </w:pPr>
    <w:rPr>
      <w:rFonts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44578597">
      <w:bodyDiv w:val="1"/>
      <w:marLeft w:val="0"/>
      <w:marRight w:val="0"/>
      <w:marTop w:val="0"/>
      <w:marBottom w:val="0"/>
      <w:divBdr>
        <w:top w:val="none" w:sz="0" w:space="0" w:color="auto"/>
        <w:left w:val="none" w:sz="0" w:space="0" w:color="auto"/>
        <w:bottom w:val="none" w:sz="0" w:space="0" w:color="auto"/>
        <w:right w:val="none" w:sz="0" w:space="0" w:color="auto"/>
      </w:divBdr>
      <w:divsChild>
        <w:div w:id="1060404092">
          <w:marLeft w:val="0"/>
          <w:marRight w:val="0"/>
          <w:marTop w:val="0"/>
          <w:marBottom w:val="0"/>
          <w:divBdr>
            <w:top w:val="none" w:sz="0" w:space="0" w:color="auto"/>
            <w:left w:val="none" w:sz="0" w:space="0" w:color="auto"/>
            <w:bottom w:val="none" w:sz="0" w:space="0" w:color="auto"/>
            <w:right w:val="none" w:sz="0" w:space="0" w:color="auto"/>
          </w:divBdr>
          <w:divsChild>
            <w:div w:id="2016958729">
              <w:marLeft w:val="0"/>
              <w:marRight w:val="0"/>
              <w:marTop w:val="0"/>
              <w:marBottom w:val="0"/>
              <w:divBdr>
                <w:top w:val="none" w:sz="0" w:space="0" w:color="auto"/>
                <w:left w:val="none" w:sz="0" w:space="0" w:color="auto"/>
                <w:bottom w:val="none" w:sz="0" w:space="0" w:color="auto"/>
                <w:right w:val="none" w:sz="0" w:space="0" w:color="auto"/>
              </w:divBdr>
              <w:divsChild>
                <w:div w:id="1779251954">
                  <w:marLeft w:val="0"/>
                  <w:marRight w:val="0"/>
                  <w:marTop w:val="0"/>
                  <w:marBottom w:val="0"/>
                  <w:divBdr>
                    <w:top w:val="none" w:sz="0" w:space="0" w:color="auto"/>
                    <w:left w:val="none" w:sz="0" w:space="0" w:color="auto"/>
                    <w:bottom w:val="none" w:sz="0" w:space="0" w:color="auto"/>
                    <w:right w:val="none" w:sz="0" w:space="0" w:color="auto"/>
                  </w:divBdr>
                  <w:divsChild>
                    <w:div w:id="1712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AKM KAMRUL HAQUE</cp:lastModifiedBy>
  <cp:revision>8</cp:revision>
  <dcterms:created xsi:type="dcterms:W3CDTF">2024-07-08T23:34:00Z</dcterms:created>
  <dcterms:modified xsi:type="dcterms:W3CDTF">2024-07-09T00:05:00Z</dcterms:modified>
</cp:coreProperties>
</file>