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3109"/>
        <w:gridCol w:w="1712"/>
        <w:gridCol w:w="3181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73CCB66" w:rsidR="00C9238F" w:rsidRPr="00AA40FE" w:rsidRDefault="003C5E6F" w:rsidP="003C5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5E6F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Tendency in the Transformation of Agricultural Land into Non-Agriculture: some</w:t>
            </w: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 xml:space="preserve"> </w:t>
            </w:r>
            <w:r w:rsidRPr="003C5E6F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selected areas in Bangladesh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0303195" w:rsidR="00C9238F" w:rsidRPr="005E19AD" w:rsidRDefault="003C5E6F" w:rsidP="00AA40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eastAsia="TimesNewRoman" w:cs="TimesNewRoman"/>
                <w:sz w:val="22"/>
                <w:szCs w:val="22"/>
              </w:rPr>
              <w:t>M. Rokonuzaman</w:t>
            </w:r>
            <w:r>
              <w:rPr>
                <w:rFonts w:ascii="TimesNewRoman" w:eastAsia="TimesNewRoman" w:cs="TimesNewRoman"/>
                <w:sz w:val="14"/>
                <w:szCs w:val="14"/>
              </w:rPr>
              <w:t>1</w:t>
            </w:r>
            <w:r>
              <w:rPr>
                <w:rFonts w:ascii="TimesNewRoman" w:eastAsia="TimesNewRoman" w:cs="TimesNewRoman"/>
                <w:sz w:val="22"/>
                <w:szCs w:val="22"/>
              </w:rPr>
              <w:t>, G C Saha</w:t>
            </w:r>
            <w:r>
              <w:rPr>
                <w:rFonts w:ascii="TimesNewRoman" w:eastAsia="TimesNewRoman" w:cs="TimesNewRoman"/>
                <w:sz w:val="14"/>
                <w:szCs w:val="14"/>
              </w:rPr>
              <w:t xml:space="preserve"> </w:t>
            </w:r>
            <w:r>
              <w:rPr>
                <w:rFonts w:ascii="TimesNewRoman" w:eastAsia="TimesNewRoman" w:cs="TimesNewRoman"/>
                <w:sz w:val="22"/>
                <w:szCs w:val="22"/>
              </w:rPr>
              <w:t>and Mohammad Khurshed Alam</w:t>
            </w:r>
            <w:r>
              <w:rPr>
                <w:rFonts w:ascii="TimesNewRoman" w:eastAsia="TimesNewRoman" w:cs="TimesNewRoman"/>
                <w:sz w:val="14"/>
                <w:szCs w:val="14"/>
              </w:rPr>
              <w:t>3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24F3784" w:rsidR="00C9238F" w:rsidRPr="003C5E6F" w:rsidRDefault="003C5E6F" w:rsidP="003C5E6F">
            <w:pPr>
              <w:pStyle w:val="Author"/>
              <w:spacing w:before="0"/>
              <w:jc w:val="both"/>
              <w:rPr>
                <w:color w:val="000000" w:themeColor="text1"/>
                <w:sz w:val="20"/>
                <w:szCs w:val="20"/>
              </w:rPr>
            </w:pPr>
            <w:r w:rsidRPr="00E67DB6">
              <w:rPr>
                <w:color w:val="000000" w:themeColor="text1"/>
                <w:sz w:val="20"/>
                <w:szCs w:val="20"/>
              </w:rPr>
              <w:t>SEOUL JOURNAL OF ECONOMICS-ISSN NO  12250279(SCOPUS INDEX)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6C9F36C2" w:rsidR="00576892" w:rsidRPr="005E19AD" w:rsidRDefault="003C5E6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MyriadPro-SemiCn" w:hAnsi="MyriadPro-SemiCn" w:cs="MyriadPro-SemiCn"/>
                <w:sz w:val="17"/>
                <w:szCs w:val="17"/>
              </w:rPr>
              <w:t>12250279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7F6CAF2" w:rsidR="00852B20" w:rsidRPr="005E19AD" w:rsidRDefault="003C5E6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C5E6F">
              <w:rPr>
                <w:rFonts w:ascii="MyriadPro-SemiCn" w:hAnsi="MyriadPro-SemiCn" w:cs="MyriadPro-SemiCn"/>
                <w:sz w:val="17"/>
                <w:szCs w:val="17"/>
              </w:rPr>
              <w:t>Review of Pacific Basin Financial Markets and Policies.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397DDA1" w:rsidR="00852B20" w:rsidRPr="005E19AD" w:rsidRDefault="003C5E6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 Dec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B8A8CD0" w:rsidR="00852B20" w:rsidRPr="005E19AD" w:rsidRDefault="003C5E6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67DB6">
              <w:rPr>
                <w:color w:val="000000" w:themeColor="text1"/>
                <w:sz w:val="20"/>
                <w:szCs w:val="20"/>
              </w:rPr>
              <w:t>ISSN NO  12250279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C68A7B0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265C8EB" w:rsidR="00C9238F" w:rsidRPr="003C5E6F" w:rsidRDefault="003C5E6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3C5E6F">
              <w:rPr>
                <w:rFonts w:ascii="Times New Roman" w:hAnsi="Times New Roman" w:cs="Times New Roman"/>
                <w:sz w:val="20"/>
                <w:szCs w:val="20"/>
              </w:rPr>
              <w:t>https://www.researchgate.net/publication/376307848_Tendency_in_the_Transformation_of_Agricultural_Land_into_Non-Agriculture_some_selected_areas_in_Bangladesh/citation/download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8391F92" w:rsidR="00852B20" w:rsidRPr="005E19AD" w:rsidRDefault="00AA40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1854C343" w:rsidR="00852B20" w:rsidRPr="005E19AD" w:rsidRDefault="003C5E6F" w:rsidP="003C5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eastAsia="TimesNewRoman" w:cs="TimesNewRoman"/>
                <w:sz w:val="20"/>
                <w:szCs w:val="20"/>
              </w:rPr>
              <w:t>The survey was conducted to - estimate the annual conversion of agricultural land into non-agriculture, investigate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the present pattern of non-agricultural uses of the converted land, suggest suitable policy measures towards the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protection of farmland in the country. Besides, consequent loss of crop production during the ten years of 2001 to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2010 was estimated. There were three Upazila from Mymensingh district: Mymensingh Sadar, Bhaluka, and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Fulbaria; another three from Narshindi district: Narshindi Sadar, Belabo, and Polash Upazila as local of the study,respectively. Data were collected from 18. 01.12 to 10.03.12. The respondents were the household head. The total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sample size was 180, of which 20 were from each Upazila. Data were collected using a face-to-face interview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schedule. The data indicated that conversion of agricultural land 0.42 percent per year. Information regarding nonagricultural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uses of converted land indicates that more than half (55 percent) of the converted land was used in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housing predominantly in urban villages (53 percent) as expected. The subsequent two important uses were in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constructing roads and usiness enterprises covering 11 and 8 percent respectively. The non-reported area of usewas also substantial (18 percent). Such land was the largest in rural villages (20 percent). Among different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residential statuses of the households, the second most crucial utilization in peri-urban villages was road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construction, covering 21 percent of its converted land. The respondents have put forward some suggestions for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arresting the current rate of land conversion. Their ecommendations include the following agriculture should be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made more profitable and attractive (50 percent); the special tax should be imposed on the conversion of land (29percent), and interestingly, area wise ceiling may be fixed for non-agricultural uses of land (9 percent), and tax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exemption may be offered for commercial farms, and the agro-based industries scored same (9 percent). It was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concluded that crop loss amounting to US$197,963,29 per year happens due to the conversion of farming land into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eastAsia="TimesNewRoman" w:cs="TimesNewRoman"/>
                <w:sz w:val="20"/>
                <w:szCs w:val="20"/>
              </w:rPr>
              <w:t>non-agriculture purposes in Bangladesh as a whole.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EEB2C" w14:textId="77777777" w:rsidR="002A0FBD" w:rsidRDefault="002A0FBD" w:rsidP="00C9238F">
      <w:pPr>
        <w:spacing w:after="0" w:line="240" w:lineRule="auto"/>
      </w:pPr>
      <w:r>
        <w:separator/>
      </w:r>
    </w:p>
  </w:endnote>
  <w:endnote w:type="continuationSeparator" w:id="0">
    <w:p w14:paraId="4D4D630B" w14:textId="77777777" w:rsidR="002A0FBD" w:rsidRDefault="002A0FB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170074-DF91-4698-9C43-F72344CF0521}"/>
    <w:embedBold r:id="rId2" w:fontKey="{DC3D526A-0A2D-4934-B519-C85F7DAF9912}"/>
    <w:embedItalic r:id="rId3" w:fontKey="{4DF99F08-4D6E-4548-A5AC-2074098FE85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2842165-641F-4747-BFB9-D0260CA0E789}"/>
    <w:embedBold r:id="rId5" w:fontKey="{39117147-9D06-4995-845D-AAFD50C0B56F}"/>
    <w:embedItalic r:id="rId6" w:fontKey="{52E06145-18A7-4D11-9259-21C508923E7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56C883F-7E6D-4254-AC98-6CFF08E30BA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yriadPro-Semi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7410C" w14:textId="77777777" w:rsidR="002A0FBD" w:rsidRDefault="002A0FBD" w:rsidP="00C9238F">
      <w:pPr>
        <w:spacing w:after="0" w:line="240" w:lineRule="auto"/>
      </w:pPr>
      <w:r>
        <w:separator/>
      </w:r>
    </w:p>
  </w:footnote>
  <w:footnote w:type="continuationSeparator" w:id="0">
    <w:p w14:paraId="6EA6E106" w14:textId="77777777" w:rsidR="002A0FBD" w:rsidRDefault="002A0FB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D5F1FBE"/>
    <w:multiLevelType w:val="hybridMultilevel"/>
    <w:tmpl w:val="F1E0B5AE"/>
    <w:lvl w:ilvl="0" w:tplc="6D42D3E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1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3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2"/>
  </w:num>
  <w:num w:numId="22" w16cid:durableId="1124732582">
    <w:abstractNumId w:val="5"/>
  </w:num>
  <w:num w:numId="23" w16cid:durableId="1980382986">
    <w:abstractNumId w:val="0"/>
  </w:num>
  <w:num w:numId="24" w16cid:durableId="292178352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C296B"/>
    <w:rsid w:val="001F5CF8"/>
    <w:rsid w:val="0020377B"/>
    <w:rsid w:val="00205DB3"/>
    <w:rsid w:val="00295E0D"/>
    <w:rsid w:val="002A0FBD"/>
    <w:rsid w:val="002B2D0C"/>
    <w:rsid w:val="002B68E4"/>
    <w:rsid w:val="002C56E6"/>
    <w:rsid w:val="002D3238"/>
    <w:rsid w:val="00361E11"/>
    <w:rsid w:val="003C5E6F"/>
    <w:rsid w:val="003E42F4"/>
    <w:rsid w:val="003E779A"/>
    <w:rsid w:val="003F0847"/>
    <w:rsid w:val="0040090B"/>
    <w:rsid w:val="00421017"/>
    <w:rsid w:val="00445BF2"/>
    <w:rsid w:val="0046302A"/>
    <w:rsid w:val="00487D2D"/>
    <w:rsid w:val="00490C53"/>
    <w:rsid w:val="004D5D62"/>
    <w:rsid w:val="004E5717"/>
    <w:rsid w:val="004F76A2"/>
    <w:rsid w:val="005112D0"/>
    <w:rsid w:val="00522B79"/>
    <w:rsid w:val="00576892"/>
    <w:rsid w:val="00577E06"/>
    <w:rsid w:val="0059119B"/>
    <w:rsid w:val="005A3BF7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52B20"/>
    <w:rsid w:val="00887812"/>
    <w:rsid w:val="00897670"/>
    <w:rsid w:val="008B0E32"/>
    <w:rsid w:val="008E203A"/>
    <w:rsid w:val="008E7137"/>
    <w:rsid w:val="0091229C"/>
    <w:rsid w:val="00920221"/>
    <w:rsid w:val="00940E73"/>
    <w:rsid w:val="00981E61"/>
    <w:rsid w:val="0098597D"/>
    <w:rsid w:val="009B34A3"/>
    <w:rsid w:val="009F619A"/>
    <w:rsid w:val="009F6DDE"/>
    <w:rsid w:val="009F77CA"/>
    <w:rsid w:val="00A1613A"/>
    <w:rsid w:val="00A370A8"/>
    <w:rsid w:val="00A82A33"/>
    <w:rsid w:val="00AA40FE"/>
    <w:rsid w:val="00AB5B88"/>
    <w:rsid w:val="00AD3D91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  <w:style w:type="paragraph" w:customStyle="1" w:styleId="Author">
    <w:name w:val="Author"/>
    <w:rsid w:val="003C5E6F"/>
    <w:pPr>
      <w:spacing w:before="360" w:after="40" w:line="240" w:lineRule="auto"/>
      <w:jc w:val="center"/>
    </w:pPr>
    <w:rPr>
      <w:rFonts w:ascii="Times New Roman" w:eastAsia="SimSun" w:hAnsi="Times New Roman" w:cs="Times New Roman"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2024-09-16T15:30:00Z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