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9"/>
        <w:gridCol w:w="3012"/>
        <w:gridCol w:w="1583"/>
        <w:gridCol w:w="3086"/>
      </w:tblGrid>
      <w:tr w:rsidR="00C9238F" w:rsidRPr="005E19AD" w14:paraId="104F9DBE" w14:textId="77777777" w:rsidTr="00AB2373">
        <w:tc>
          <w:tcPr>
            <w:tcW w:w="550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4F8861C" w:rsidR="00C9238F" w:rsidRPr="00572025" w:rsidRDefault="00864960" w:rsidP="00545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3">
              <w:rPr>
                <w:rFonts w:ascii="Times New Roman" w:eastAsia="TimesNewRomanPS-BoldMT" w:hAnsi="Times New Roman" w:cs="Times New Roman"/>
                <w:color w:val="000000"/>
                <w:sz w:val="20"/>
                <w:szCs w:val="20"/>
                <w:lang w:eastAsia="zh-CN" w:bidi="ar"/>
              </w:rPr>
              <w:t>Optimal Power Flow Solutions Incorporating Stochastic Wind Power Generators by Moth Flow Optimizer</w:t>
            </w:r>
          </w:p>
        </w:tc>
      </w:tr>
      <w:tr w:rsidR="00C9238F" w:rsidRPr="005E19AD" w14:paraId="41B6DFDE" w14:textId="77777777" w:rsidTr="00AB2373">
        <w:tc>
          <w:tcPr>
            <w:tcW w:w="550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51CC0EB" w14:textId="77777777" w:rsidR="00AB2373" w:rsidRPr="00AB2373" w:rsidRDefault="00AB2373" w:rsidP="00AB2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340757" w14:textId="535E29A2" w:rsidR="00864960" w:rsidRPr="00864960" w:rsidRDefault="000C0915" w:rsidP="008649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4960">
              <w:rPr>
                <w:rFonts w:ascii="Times New Roman" w:hAnsi="Times New Roman" w:cs="Times New Roman"/>
                <w:sz w:val="20"/>
                <w:szCs w:val="20"/>
              </w:rPr>
              <w:t xml:space="preserve">Mohammad </w:t>
            </w:r>
            <w:r w:rsidR="009B6F72" w:rsidRPr="00864960">
              <w:rPr>
                <w:rFonts w:ascii="Times New Roman" w:hAnsi="Times New Roman" w:cs="Times New Roman"/>
                <w:sz w:val="20"/>
                <w:szCs w:val="20"/>
              </w:rPr>
              <w:t xml:space="preserve">Khurshed Alam, </w:t>
            </w:r>
            <w:hyperlink r:id="rId11" w:history="1">
              <w:r w:rsidR="002F6BCD" w:rsidRPr="00864960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Mohd Herwan Sulaiman</w:t>
              </w:r>
            </w:hyperlink>
            <w:r w:rsidR="00864960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,</w:t>
            </w:r>
            <w:r w:rsidR="00864960" w:rsidRPr="00864960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864960" w:rsidRPr="00864960">
              <w:rPr>
                <w:rFonts w:ascii="Times New Roman" w:hAnsi="Times New Roman" w:cs="Times New Roman"/>
                <w:sz w:val="20"/>
                <w:szCs w:val="20"/>
              </w:rPr>
              <w:t>Md Shohan Parvez ,</w:t>
            </w:r>
          </w:p>
          <w:p w14:paraId="4C3C55DD" w14:textId="2E81A678" w:rsidR="00C9238F" w:rsidRPr="002F6BCD" w:rsidRDefault="00864960" w:rsidP="00864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960">
              <w:rPr>
                <w:rFonts w:ascii="Times New Roman" w:hAnsi="Times New Roman" w:cs="Times New Roman"/>
                <w:sz w:val="20"/>
                <w:szCs w:val="20"/>
              </w:rPr>
              <w:t>Shahriar Imtiaz , Md. Shaoran Sayem</w:t>
            </w:r>
          </w:p>
        </w:tc>
      </w:tr>
      <w:tr w:rsidR="00C9238F" w:rsidRPr="005E19AD" w14:paraId="1694AB7A" w14:textId="77777777" w:rsidTr="00AB2373">
        <w:tc>
          <w:tcPr>
            <w:tcW w:w="550" w:type="pct"/>
            <w:vAlign w:val="center"/>
          </w:tcPr>
          <w:p w14:paraId="1FB726A9" w14:textId="5B2748DE" w:rsidR="00C9238F" w:rsidRPr="00864960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64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Contact Email(s)</w:t>
            </w:r>
            <w:r w:rsidR="000B26A5" w:rsidRPr="00864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B2373">
        <w:tc>
          <w:tcPr>
            <w:tcW w:w="550" w:type="pct"/>
            <w:vAlign w:val="center"/>
          </w:tcPr>
          <w:p w14:paraId="60832908" w14:textId="0D234BBC" w:rsidR="00C9238F" w:rsidRPr="00864960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649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Published Journal Name</w:t>
            </w:r>
            <w:r w:rsidR="000B26A5" w:rsidRPr="008649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9F49F79" w:rsidR="00C9238F" w:rsidRPr="005E19AD" w:rsidRDefault="00864960" w:rsidP="002B5DB9">
            <w:pPr>
              <w:rPr>
                <w:rFonts w:ascii="Times New Roman" w:hAnsi="Times New Roman" w:cs="Times New Roman"/>
              </w:rPr>
            </w:pPr>
            <w:r w:rsidRPr="002F1237">
              <w:rPr>
                <w:rStyle w:val="Emphasis"/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Engineering Technology International Conference (ETIC 2022)</w:t>
            </w:r>
            <w:r w:rsidRPr="002F12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, Online Conference, Kuantan, Malaysia, 2022</w:t>
            </w:r>
          </w:p>
        </w:tc>
      </w:tr>
      <w:tr w:rsidR="00010104" w:rsidRPr="005E19AD" w14:paraId="29260EEE" w14:textId="77777777" w:rsidTr="00AB2373">
        <w:tc>
          <w:tcPr>
            <w:tcW w:w="550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A87040" w:rsidR="00010104" w:rsidRPr="005E19AD" w:rsidRDefault="00BE6F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AB2373">
        <w:tc>
          <w:tcPr>
            <w:tcW w:w="550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25" w:type="pct"/>
            <w:tcBorders>
              <w:bottom w:val="single" w:sz="4" w:space="0" w:color="auto"/>
            </w:tcBorders>
            <w:vAlign w:val="bottom"/>
          </w:tcPr>
          <w:p w14:paraId="76051B5A" w14:textId="67815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61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AB2373">
        <w:tc>
          <w:tcPr>
            <w:tcW w:w="550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1060CD9" w:rsidR="00852B20" w:rsidRPr="005E19AD" w:rsidRDefault="00864960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IET</w:t>
            </w:r>
          </w:p>
        </w:tc>
      </w:tr>
      <w:tr w:rsidR="00852B20" w:rsidRPr="005E19AD" w14:paraId="0977BFEF" w14:textId="77777777" w:rsidTr="00AB2373">
        <w:tc>
          <w:tcPr>
            <w:tcW w:w="550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1009030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AB2373">
              <w:rPr>
                <w:rFonts w:ascii="Times New Roman" w:hAnsi="Times New Roman" w:cs="Times New Roman"/>
              </w:rPr>
              <w:t>2</w:t>
            </w:r>
            <w:r w:rsidRPr="00BC6682">
              <w:rPr>
                <w:rFonts w:ascii="Times New Roman" w:hAnsi="Times New Roman" w:cs="Times New Roman"/>
              </w:rPr>
              <w:t>02</w:t>
            </w:r>
            <w:r w:rsidR="002F6BCD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AB2373">
        <w:tc>
          <w:tcPr>
            <w:tcW w:w="550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BFD9C4" w:rsidR="00852B20" w:rsidRPr="002B5DB9" w:rsidRDefault="00852B20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E19AD" w14:paraId="6125C715" w14:textId="77777777" w:rsidTr="00AB2373">
        <w:tc>
          <w:tcPr>
            <w:tcW w:w="550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4AC9EF7" w:rsidR="00852B20" w:rsidRPr="00C333A6" w:rsidRDefault="00AB237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 xml:space="preserve"> </w:t>
            </w:r>
            <w:r w:rsidR="00864960" w:rsidRPr="002F12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doi: 10.1049/icp.2022.2582</w:t>
            </w:r>
          </w:p>
        </w:tc>
      </w:tr>
      <w:tr w:rsidR="00C9238F" w:rsidRPr="005E19AD" w14:paraId="16A1DAEC" w14:textId="77777777" w:rsidTr="00AB2373">
        <w:tc>
          <w:tcPr>
            <w:tcW w:w="550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0215E28" w:rsidR="009B6F72" w:rsidRPr="002B5DB9" w:rsidRDefault="00864960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64960">
              <w:rPr>
                <w:rFonts w:ascii="Times New Roman" w:hAnsi="Times New Roman" w:cs="Times New Roman"/>
                <w:sz w:val="24"/>
                <w:szCs w:val="24"/>
              </w:rPr>
              <w:t>https://ieeexplore.ieee.org/document/10106728</w:t>
            </w:r>
          </w:p>
        </w:tc>
      </w:tr>
    </w:tbl>
    <w:p w14:paraId="368EFAEB" w14:textId="34B75B5E" w:rsidR="00852B20" w:rsidRDefault="00852B20">
      <w:pPr>
        <w:rPr>
          <w:rFonts w:ascii="Times New Roman" w:hAnsi="Times New Roman" w:cs="Times New Roman"/>
        </w:rPr>
      </w:pPr>
    </w:p>
    <w:p w14:paraId="6C7F69F7" w14:textId="77777777" w:rsidR="00864960" w:rsidRDefault="00864960">
      <w:pPr>
        <w:rPr>
          <w:rFonts w:ascii="Times New Roman" w:hAnsi="Times New Roman" w:cs="Times New Roman"/>
        </w:rPr>
      </w:pPr>
    </w:p>
    <w:p w14:paraId="7D7F2B79" w14:textId="77777777" w:rsidR="00864960" w:rsidRDefault="00864960">
      <w:pPr>
        <w:rPr>
          <w:rFonts w:ascii="Times New Roman" w:hAnsi="Times New Roman" w:cs="Times New Roman"/>
        </w:rPr>
      </w:pPr>
    </w:p>
    <w:p w14:paraId="1179BC83" w14:textId="77777777" w:rsidR="00864960" w:rsidRDefault="00864960">
      <w:pPr>
        <w:rPr>
          <w:rFonts w:ascii="Times New Roman" w:hAnsi="Times New Roman" w:cs="Times New Roman"/>
        </w:rPr>
      </w:pPr>
    </w:p>
    <w:p w14:paraId="1F767338" w14:textId="77777777" w:rsidR="00864960" w:rsidRDefault="00864960">
      <w:pPr>
        <w:rPr>
          <w:rFonts w:ascii="Times New Roman" w:hAnsi="Times New Roman" w:cs="Times New Roman"/>
        </w:rPr>
      </w:pPr>
    </w:p>
    <w:p w14:paraId="0AE424E6" w14:textId="77777777" w:rsidR="00864960" w:rsidRDefault="00864960">
      <w:pPr>
        <w:rPr>
          <w:rFonts w:ascii="Times New Roman" w:hAnsi="Times New Roman" w:cs="Times New Roman"/>
        </w:rPr>
      </w:pPr>
    </w:p>
    <w:p w14:paraId="5485F939" w14:textId="77777777" w:rsidR="00864960" w:rsidRDefault="00864960">
      <w:pPr>
        <w:rPr>
          <w:rFonts w:ascii="Times New Roman" w:hAnsi="Times New Roman" w:cs="Times New Roman"/>
        </w:rPr>
      </w:pPr>
    </w:p>
    <w:p w14:paraId="2C265D23" w14:textId="77777777" w:rsidR="00864960" w:rsidRDefault="00864960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BC7A3" w14:textId="74D1DED9" w:rsidR="00864960" w:rsidRDefault="002F6BCD" w:rsidP="008649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6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The variables that maximize an objective function, specific equality requirements, such as the power balancing and power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flow equations, and inequality constraints, restrictions on the variables, are the most crucial elements of the optimal power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flow (OPF). The set of parameters and constraints, as well as the shape of the objective, will vary depending on the type of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OPF. Additionally, with the gradual integration of renewable energy sources into the contemporary smart grid, it is now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possible to develop new optimization problems with a substantially greater number of variables. In this paper, a method for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choosing the optimal power flow in a system including both conventional thermal power plants and stochastic wind turbines is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4960">
              <w:rPr>
                <w:rFonts w:ascii="Times New Roman" w:hAnsi="Times New Roman" w:cs="Times New Roman"/>
                <w:sz w:val="20"/>
                <w:szCs w:val="20"/>
              </w:rPr>
              <w:t>presented. To anticipate wind energy output, Weibull and lognormal probability distribution functions are used, respectively.</w:t>
            </w:r>
          </w:p>
          <w:p w14:paraId="6556E0B0" w14:textId="0105486E" w:rsidR="00852B20" w:rsidRPr="005E19AD" w:rsidRDefault="00864960" w:rsidP="008649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loss from overestimating intermittent renewable sources and the penalty factor from underestimating them are both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considered by the objective function. To handle the optimization problem in the IEEE 30 bus system, Moth Flow Optimizer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(MFO) and Graw Wolf Optimization are used (GWO). The approach's combination and design produce the best outcomes,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which meet all network limitations.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F9FEA" w14:textId="77777777" w:rsidR="00143C7E" w:rsidRDefault="00143C7E" w:rsidP="00C9238F">
      <w:pPr>
        <w:spacing w:after="0" w:line="240" w:lineRule="auto"/>
      </w:pPr>
      <w:r>
        <w:separator/>
      </w:r>
    </w:p>
  </w:endnote>
  <w:endnote w:type="continuationSeparator" w:id="0">
    <w:p w14:paraId="0BE12624" w14:textId="77777777" w:rsidR="00143C7E" w:rsidRDefault="00143C7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5C4221-D29E-4324-83DA-452BE4CC4D5D}"/>
    <w:embedBold r:id="rId2" w:fontKey="{715A63C7-1371-44C4-ADD3-0B431005CE8D}"/>
    <w:embedItalic r:id="rId3" w:fontKey="{093AE861-4617-45C3-A2AE-B847F9D115E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53708C-2DEE-43F1-BA48-7A3A407BF7B8}"/>
    <w:embedBold r:id="rId5" w:fontKey="{3447F5D1-58B5-4DC2-8D17-D28A29B52552}"/>
    <w:embedItalic r:id="rId6" w:fontKey="{E4D569DA-BCB9-4E3A-95EB-D8C18D29EA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0B525ED-B74C-4EE6-8BE1-1957FF72F03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Calibri"/>
    <w:charset w:val="00"/>
    <w:family w:val="auto"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3213E" w14:textId="77777777" w:rsidR="00143C7E" w:rsidRDefault="00143C7E" w:rsidP="00C9238F">
      <w:pPr>
        <w:spacing w:after="0" w:line="240" w:lineRule="auto"/>
      </w:pPr>
      <w:r>
        <w:separator/>
      </w:r>
    </w:p>
  </w:footnote>
  <w:footnote w:type="continuationSeparator" w:id="0">
    <w:p w14:paraId="52962A7D" w14:textId="77777777" w:rsidR="00143C7E" w:rsidRDefault="00143C7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C0915"/>
    <w:rsid w:val="000D0A38"/>
    <w:rsid w:val="000D1F49"/>
    <w:rsid w:val="000D68B9"/>
    <w:rsid w:val="000F084A"/>
    <w:rsid w:val="00110BAB"/>
    <w:rsid w:val="00143C7E"/>
    <w:rsid w:val="001727CA"/>
    <w:rsid w:val="001A6DB8"/>
    <w:rsid w:val="001F5CF8"/>
    <w:rsid w:val="0020377B"/>
    <w:rsid w:val="00205DB3"/>
    <w:rsid w:val="00242199"/>
    <w:rsid w:val="00277479"/>
    <w:rsid w:val="00295E0D"/>
    <w:rsid w:val="002B2D0C"/>
    <w:rsid w:val="002B5DB9"/>
    <w:rsid w:val="002B68E4"/>
    <w:rsid w:val="002C56E6"/>
    <w:rsid w:val="002D3238"/>
    <w:rsid w:val="002F6BCD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45489"/>
    <w:rsid w:val="00572025"/>
    <w:rsid w:val="00576892"/>
    <w:rsid w:val="00577E06"/>
    <w:rsid w:val="0059119B"/>
    <w:rsid w:val="005A3BF7"/>
    <w:rsid w:val="005B2F55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6496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76160"/>
    <w:rsid w:val="0098597D"/>
    <w:rsid w:val="009B34A3"/>
    <w:rsid w:val="009B6F72"/>
    <w:rsid w:val="009F619A"/>
    <w:rsid w:val="009F6DDE"/>
    <w:rsid w:val="009F77CA"/>
    <w:rsid w:val="00A03F42"/>
    <w:rsid w:val="00A1613A"/>
    <w:rsid w:val="00A370A8"/>
    <w:rsid w:val="00A82A33"/>
    <w:rsid w:val="00AA5D11"/>
    <w:rsid w:val="00AB2373"/>
    <w:rsid w:val="00AB5B88"/>
    <w:rsid w:val="00AD3D91"/>
    <w:rsid w:val="00AF6BFE"/>
    <w:rsid w:val="00B91971"/>
    <w:rsid w:val="00BC6682"/>
    <w:rsid w:val="00BD4753"/>
    <w:rsid w:val="00BD5CB1"/>
    <w:rsid w:val="00BE62EE"/>
    <w:rsid w:val="00BE6FB3"/>
    <w:rsid w:val="00C003BA"/>
    <w:rsid w:val="00C26236"/>
    <w:rsid w:val="00C266D5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B63CC"/>
    <w:rsid w:val="00EC7359"/>
    <w:rsid w:val="00EE3054"/>
    <w:rsid w:val="00F00606"/>
    <w:rsid w:val="00F01256"/>
    <w:rsid w:val="00F1799B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45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Mohd-Herwan-Sulaiman?_tp=eyJjb250ZXh0Ijp7ImZpcnN0UGFnZSI6InB1YmxpY2F0aW9uIiwicGFnZSI6InB1YmxpY2F0aW9uIn19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