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69FA8" w14:textId="77777777" w:rsidR="00182E85" w:rsidRDefault="00182E85" w:rsidP="00182E85">
      <w:pPr>
        <w:rPr>
          <w:rFonts w:ascii="Times New Roman" w:eastAsia="Calibri" w:hAnsi="Times New Roman" w:cs="Times New Roman"/>
          <w:sz w:val="18"/>
        </w:rPr>
      </w:pPr>
    </w:p>
    <w:p w14:paraId="31F7DEB4" w14:textId="77777777" w:rsidR="00182E85" w:rsidRPr="005E19AD" w:rsidRDefault="00182E85" w:rsidP="00182E85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3219"/>
        <w:gridCol w:w="1659"/>
        <w:gridCol w:w="3040"/>
      </w:tblGrid>
      <w:tr w:rsidR="00182E85" w:rsidRPr="005E19AD" w14:paraId="51667D53" w14:textId="77777777" w:rsidTr="00EA60D2">
        <w:tc>
          <w:tcPr>
            <w:tcW w:w="486" w:type="pct"/>
            <w:vAlign w:val="center"/>
          </w:tcPr>
          <w:p w14:paraId="0D275DBC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A43AD92" w14:textId="03F72EA1" w:rsidR="00182E85" w:rsidRPr="00C333A6" w:rsidRDefault="008C13C5" w:rsidP="0046118D">
            <w:pPr>
              <w:spacing w:before="240"/>
              <w:rPr>
                <w:rFonts w:ascii="Times New Roman" w:hAnsi="Times New Roman" w:cs="Times New Roman"/>
              </w:rPr>
            </w:pPr>
            <w:r w:rsidRPr="008C13C5">
              <w:rPr>
                <w:rFonts w:ascii="Times New Roman" w:hAnsi="Times New Roman" w:cs="Times New Roman"/>
              </w:rPr>
              <w:t>Explainable deep learning for diabetes diagnosis with DeepNetX2</w:t>
            </w:r>
          </w:p>
        </w:tc>
      </w:tr>
      <w:tr w:rsidR="00182E85" w:rsidRPr="005E19AD" w14:paraId="1E6E99F7" w14:textId="77777777" w:rsidTr="00EA60D2">
        <w:tc>
          <w:tcPr>
            <w:tcW w:w="486" w:type="pct"/>
            <w:vAlign w:val="center"/>
          </w:tcPr>
          <w:p w14:paraId="63E2B756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BA04473" w14:textId="1D2CC98A" w:rsidR="00182E85" w:rsidRPr="005E19AD" w:rsidRDefault="008C13C5" w:rsidP="008C13C5">
            <w:pPr>
              <w:spacing w:before="240"/>
              <w:rPr>
                <w:rFonts w:ascii="Times New Roman" w:hAnsi="Times New Roman" w:cs="Times New Roman"/>
              </w:rPr>
            </w:pPr>
            <w:r w:rsidRPr="008C13C5">
              <w:rPr>
                <w:rFonts w:ascii="Times New Roman" w:hAnsi="Times New Roman" w:cs="Times New Roman"/>
              </w:rPr>
              <w:t xml:space="preserve">Sharia Arfin Tanim, Al Rafi </w:t>
            </w:r>
            <w:proofErr w:type="spellStart"/>
            <w:r w:rsidRPr="008C13C5">
              <w:rPr>
                <w:rFonts w:ascii="Times New Roman" w:hAnsi="Times New Roman" w:cs="Times New Roman"/>
              </w:rPr>
              <w:t>Aurnob</w:t>
            </w:r>
            <w:proofErr w:type="spellEnd"/>
            <w:r w:rsidRPr="008C13C5">
              <w:rPr>
                <w:rFonts w:ascii="Times New Roman" w:hAnsi="Times New Roman" w:cs="Times New Roman"/>
              </w:rPr>
              <w:t xml:space="preserve">, Tahmid Enam Shrestha, MD </w:t>
            </w:r>
            <w:proofErr w:type="spellStart"/>
            <w:r w:rsidRPr="008C13C5">
              <w:rPr>
                <w:rFonts w:ascii="Times New Roman" w:hAnsi="Times New Roman" w:cs="Times New Roman"/>
              </w:rPr>
              <w:t>Rokon</w:t>
            </w:r>
            <w:proofErr w:type="spellEnd"/>
            <w:r w:rsidRPr="008C13C5">
              <w:rPr>
                <w:rFonts w:ascii="Times New Roman" w:hAnsi="Times New Roman" w:cs="Times New Roman"/>
              </w:rPr>
              <w:t xml:space="preserve"> Islam Emon,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13C5">
              <w:rPr>
                <w:rFonts w:ascii="Times New Roman" w:hAnsi="Times New Roman" w:cs="Times New Roman"/>
              </w:rPr>
              <w:t xml:space="preserve">M.F. Mridha </w:t>
            </w:r>
            <w:r w:rsidRPr="008C13C5">
              <w:rPr>
                <w:rFonts w:ascii="Cambria Math" w:hAnsi="Cambria Math" w:cs="Cambria Math"/>
              </w:rPr>
              <w:t>∗</w:t>
            </w:r>
            <w:r w:rsidRPr="008C13C5">
              <w:rPr>
                <w:rFonts w:ascii="Times New Roman" w:hAnsi="Times New Roman" w:cs="Times New Roman"/>
              </w:rPr>
              <w:t xml:space="preserve">, Md </w:t>
            </w:r>
            <w:proofErr w:type="spellStart"/>
            <w:r w:rsidRPr="008C13C5">
              <w:rPr>
                <w:rFonts w:ascii="Times New Roman" w:hAnsi="Times New Roman" w:cs="Times New Roman"/>
              </w:rPr>
              <w:t>Saef</w:t>
            </w:r>
            <w:proofErr w:type="spellEnd"/>
            <w:r w:rsidRPr="008C13C5">
              <w:rPr>
                <w:rFonts w:ascii="Times New Roman" w:hAnsi="Times New Roman" w:cs="Times New Roman"/>
              </w:rPr>
              <w:t xml:space="preserve"> Ullah Miah</w:t>
            </w:r>
          </w:p>
        </w:tc>
      </w:tr>
      <w:tr w:rsidR="00182E85" w:rsidRPr="005E19AD" w14:paraId="5F7D5ABA" w14:textId="77777777" w:rsidTr="00EA60D2">
        <w:tc>
          <w:tcPr>
            <w:tcW w:w="486" w:type="pct"/>
            <w:vAlign w:val="center"/>
          </w:tcPr>
          <w:p w14:paraId="14155653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19D6D78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182E85" w:rsidRPr="005E19AD" w14:paraId="07FDB672" w14:textId="77777777" w:rsidTr="00EA60D2">
        <w:tc>
          <w:tcPr>
            <w:tcW w:w="486" w:type="pct"/>
            <w:vAlign w:val="center"/>
          </w:tcPr>
          <w:p w14:paraId="670E6C02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F526BC8" w14:textId="4BA88C1D" w:rsidR="00182E85" w:rsidRPr="005E19AD" w:rsidRDefault="008C13C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8C13C5">
              <w:rPr>
                <w:rFonts w:ascii="Times New Roman" w:hAnsi="Times New Roman" w:cs="Times New Roman"/>
              </w:rPr>
              <w:t>Biomedical Signal Processing and Control</w:t>
            </w:r>
          </w:p>
        </w:tc>
      </w:tr>
      <w:tr w:rsidR="00182E85" w:rsidRPr="005E19AD" w14:paraId="4A269877" w14:textId="77777777" w:rsidTr="00EA60D2">
        <w:tc>
          <w:tcPr>
            <w:tcW w:w="486" w:type="pct"/>
            <w:vAlign w:val="center"/>
          </w:tcPr>
          <w:p w14:paraId="2B4CDE46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EF7F95F" w14:textId="1DC7DEF5" w:rsidR="00182E85" w:rsidRPr="005E19AD" w:rsidRDefault="0046118D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182E85" w:rsidRPr="005E19AD" w14:paraId="6074CBF3" w14:textId="77777777" w:rsidTr="00EA60D2">
        <w:tc>
          <w:tcPr>
            <w:tcW w:w="486" w:type="pct"/>
            <w:vAlign w:val="center"/>
          </w:tcPr>
          <w:p w14:paraId="45B3D6BC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1F41CB68" w14:textId="205FC05B" w:rsidR="00182E85" w:rsidRPr="005E19AD" w:rsidRDefault="008C13C5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44" w:type="pct"/>
            <w:vAlign w:val="bottom"/>
          </w:tcPr>
          <w:p w14:paraId="3A2517D8" w14:textId="77777777" w:rsidR="00182E85" w:rsidRPr="005E19AD" w:rsidRDefault="00182E85" w:rsidP="00EA60D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3C1082C0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182E85" w:rsidRPr="005E19AD" w14:paraId="15A76EB9" w14:textId="77777777" w:rsidTr="00EA60D2">
        <w:tc>
          <w:tcPr>
            <w:tcW w:w="486" w:type="pct"/>
            <w:vAlign w:val="center"/>
          </w:tcPr>
          <w:p w14:paraId="7BC11F10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AD19755" w14:textId="4B7ACFC7" w:rsidR="00182E85" w:rsidRPr="005E19AD" w:rsidRDefault="008C13C5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Elsevier </w:t>
            </w:r>
          </w:p>
        </w:tc>
      </w:tr>
      <w:tr w:rsidR="00182E85" w:rsidRPr="005E19AD" w14:paraId="6A05AC15" w14:textId="77777777" w:rsidTr="00EA60D2">
        <w:tc>
          <w:tcPr>
            <w:tcW w:w="486" w:type="pct"/>
            <w:vAlign w:val="center"/>
          </w:tcPr>
          <w:p w14:paraId="534F76B0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A8922B8" w14:textId="1496AE3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 202</w:t>
            </w:r>
            <w:r w:rsidR="0046118D">
              <w:rPr>
                <w:rFonts w:ascii="Times New Roman" w:hAnsi="Times New Roman" w:cs="Times New Roman"/>
              </w:rPr>
              <w:t>4</w:t>
            </w:r>
          </w:p>
        </w:tc>
      </w:tr>
      <w:tr w:rsidR="00182E85" w:rsidRPr="005E19AD" w14:paraId="4EEC9D2F" w14:textId="77777777" w:rsidTr="00EA60D2">
        <w:tc>
          <w:tcPr>
            <w:tcW w:w="486" w:type="pct"/>
            <w:vAlign w:val="center"/>
          </w:tcPr>
          <w:p w14:paraId="76A78727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F8E818" w14:textId="40287A63" w:rsidR="00182E85" w:rsidRPr="005E19AD" w:rsidRDefault="0046118D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46118D">
              <w:rPr>
                <w:rFonts w:ascii="Times New Roman" w:hAnsi="Times New Roman" w:cs="Times New Roman"/>
                <w:b/>
                <w:bCs/>
              </w:rPr>
              <w:t> </w:t>
            </w:r>
            <w:r w:rsidR="008C13C5" w:rsidRPr="0046118D">
              <w:rPr>
                <w:rFonts w:ascii="Times New Roman" w:hAnsi="Times New Roman" w:cs="Times New Roman"/>
              </w:rPr>
              <w:t>2169-3536</w:t>
            </w:r>
          </w:p>
        </w:tc>
      </w:tr>
      <w:tr w:rsidR="00182E85" w:rsidRPr="005E19AD" w14:paraId="3D8EC8E9" w14:textId="77777777" w:rsidTr="00EA60D2">
        <w:tc>
          <w:tcPr>
            <w:tcW w:w="486" w:type="pct"/>
            <w:vAlign w:val="center"/>
          </w:tcPr>
          <w:p w14:paraId="66570451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34D7503" w14:textId="53820C28" w:rsidR="00182E85" w:rsidRPr="00C333A6" w:rsidRDefault="008C13C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8C13C5">
              <w:rPr>
                <w:rFonts w:ascii="Times New Roman" w:hAnsi="Times New Roman" w:cs="Times New Roman"/>
              </w:rPr>
              <w:t>https://doi.org/10.1016/j.bspc.2024.106902</w:t>
            </w:r>
          </w:p>
        </w:tc>
      </w:tr>
      <w:tr w:rsidR="00182E85" w:rsidRPr="005E19AD" w14:paraId="210A33AA" w14:textId="77777777" w:rsidTr="00EA60D2">
        <w:tc>
          <w:tcPr>
            <w:tcW w:w="486" w:type="pct"/>
            <w:vAlign w:val="center"/>
          </w:tcPr>
          <w:p w14:paraId="29BE5DCD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7213C12" w14:textId="08ECAB8B" w:rsidR="00182E85" w:rsidRPr="006905C2" w:rsidRDefault="0046010C" w:rsidP="00EA60D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46010C">
              <w:rPr>
                <w:rFonts w:ascii="Times New Roman" w:hAnsi="Times New Roman" w:cs="Times New Roman"/>
                <w:u w:val="single"/>
              </w:rPr>
              <w:t>https://www.sciencedirect.com/science/article/pii/S1746809424009601</w:t>
            </w:r>
          </w:p>
        </w:tc>
      </w:tr>
      <w:tr w:rsidR="00182E85" w:rsidRPr="005E19AD" w14:paraId="68194214" w14:textId="77777777" w:rsidTr="00EA60D2">
        <w:tc>
          <w:tcPr>
            <w:tcW w:w="486" w:type="pct"/>
            <w:vAlign w:val="center"/>
          </w:tcPr>
          <w:p w14:paraId="1F6CD248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CCBDF9C" w14:textId="77777777" w:rsidR="00182E85" w:rsidRDefault="00182E85" w:rsidP="00EA60D2">
            <w:pPr>
              <w:spacing w:before="240"/>
            </w:pPr>
          </w:p>
          <w:p w14:paraId="244E3A24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182E85" w:rsidRPr="005E19AD" w14:paraId="6E51AE08" w14:textId="77777777" w:rsidTr="00EA60D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C08F2A7" w14:textId="77777777" w:rsidR="00182E85" w:rsidRPr="005E19AD" w:rsidRDefault="00182E85" w:rsidP="00EA60D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182E85" w:rsidRPr="005E19AD" w14:paraId="7FE072D3" w14:textId="77777777" w:rsidTr="00EA60D2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E8E600B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470758A4" w14:textId="77777777" w:rsidR="00182E85" w:rsidRPr="005E19AD" w:rsidRDefault="00182E85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182E85" w:rsidRPr="005E19AD" w14:paraId="44F53764" w14:textId="77777777" w:rsidTr="00EA60D2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B943E" w14:textId="29A54524" w:rsidR="0046010C" w:rsidRPr="0046010C" w:rsidRDefault="0046010C" w:rsidP="0046010C">
            <w:pPr>
              <w:rPr>
                <w:rFonts w:ascii="Times New Roman" w:hAnsi="Times New Roman" w:cs="Times New Roman"/>
              </w:rPr>
            </w:pPr>
            <w:r w:rsidRPr="0046010C">
              <w:rPr>
                <w:rFonts w:ascii="Times New Roman" w:hAnsi="Times New Roman" w:cs="Times New Roman"/>
              </w:rPr>
              <w:t>Diabetes is a leading health global health challenge because of its high blood sugar levels and the risk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 xml:space="preserve">extensive damage to other internal organs. Early and </w:t>
            </w:r>
            <w:r w:rsidRPr="0046010C">
              <w:rPr>
                <w:rFonts w:ascii="Times New Roman" w:hAnsi="Times New Roman" w:cs="Times New Roman"/>
              </w:rPr>
              <w:lastRenderedPageBreak/>
              <w:t>accurate identification of diabetes is important because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it may cause other diseases including heart diseases and nerve damage. Despite the success of using machine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learning, especially deep learning in automated diabetes diagnosis. These models are mostly black boxes which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rarely offer comprehensive explanations and interpretations of the results. This study introduces DeepNetX2,</w:t>
            </w:r>
          </w:p>
          <w:p w14:paraId="328CA3E6" w14:textId="10A473BC" w:rsidR="0046010C" w:rsidRPr="0046010C" w:rsidRDefault="0046010C" w:rsidP="0046010C">
            <w:pPr>
              <w:rPr>
                <w:rFonts w:ascii="Times New Roman" w:hAnsi="Times New Roman" w:cs="Times New Roman"/>
              </w:rPr>
            </w:pPr>
            <w:r w:rsidRPr="0046010C">
              <w:rPr>
                <w:rFonts w:ascii="Times New Roman" w:hAnsi="Times New Roman" w:cs="Times New Roman"/>
              </w:rPr>
              <w:t>a proposed custom deep neural network designed to overcome these challenges by integrating Explainable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Artificial Intelligence (XAI) techniques, specifically Local Interpretable Model-agnostic Explanations (LIME)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and Shapley Additive Explanations (SHAP). These techniques make the decision-making process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model transparent, thereby increasing the credibility of the predictions. The proposed methodology entails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a comprehensive data preprocessing technique that involves a customized Spearman’s correlation coefficient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feature selection strategy. This preprocessing restricts complexity to only relevant features that promote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effectiveness, instead of oversimplification, to the point of decreasing efficiency. DeepNetX2 was rigorously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tested on three datasets: the PIMA dataset, local private dataset, and Type-2 diabetes dataset, achieving test</w:t>
            </w:r>
          </w:p>
          <w:p w14:paraId="1E837100" w14:textId="503CD5F2" w:rsidR="0046010C" w:rsidRPr="0046010C" w:rsidRDefault="0046010C" w:rsidP="0046010C">
            <w:pPr>
              <w:rPr>
                <w:rFonts w:ascii="Times New Roman" w:hAnsi="Times New Roman" w:cs="Times New Roman"/>
              </w:rPr>
            </w:pPr>
            <w:r w:rsidRPr="0046010C">
              <w:rPr>
                <w:rFonts w:ascii="Times New Roman" w:hAnsi="Times New Roman" w:cs="Times New Roman"/>
              </w:rPr>
              <w:t>accuracies of 94.81%, 97.87%, and 97.50%, respectively. These results demonstrate not only the superior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performance of DeepNetX2 compared with existing models, but also its enhanced interpretability. Based on</w:t>
            </w:r>
          </w:p>
          <w:p w14:paraId="60A21464" w14:textId="1DAC1D40" w:rsidR="00182E85" w:rsidRPr="005E19AD" w:rsidRDefault="0046010C" w:rsidP="0046010C">
            <w:pPr>
              <w:rPr>
                <w:rFonts w:ascii="Times New Roman" w:hAnsi="Times New Roman" w:cs="Times New Roman"/>
              </w:rPr>
            </w:pPr>
            <w:r w:rsidRPr="0046010C">
              <w:rPr>
                <w:rFonts w:ascii="Times New Roman" w:hAnsi="Times New Roman" w:cs="Times New Roman"/>
              </w:rPr>
              <w:t>the proposed model, an appropriate and rapid strategy for diabetes prediction was developed which is very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010C">
              <w:rPr>
                <w:rFonts w:ascii="Times New Roman" w:hAnsi="Times New Roman" w:cs="Times New Roman"/>
              </w:rPr>
              <w:t>useful for improving diagnostic integrity and patient health.</w:t>
            </w:r>
          </w:p>
        </w:tc>
      </w:tr>
    </w:tbl>
    <w:p w14:paraId="0E5AC2DC" w14:textId="77777777" w:rsidR="00182E85" w:rsidRPr="005E19AD" w:rsidRDefault="00182E85" w:rsidP="00182E85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F2E78" w14:textId="77777777" w:rsidR="00CE40CD" w:rsidRDefault="00CE40CD" w:rsidP="00C9238F">
      <w:pPr>
        <w:spacing w:after="0" w:line="240" w:lineRule="auto"/>
      </w:pPr>
      <w:r>
        <w:separator/>
      </w:r>
    </w:p>
  </w:endnote>
  <w:endnote w:type="continuationSeparator" w:id="0">
    <w:p w14:paraId="371CE177" w14:textId="77777777" w:rsidR="00CE40CD" w:rsidRDefault="00CE40C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CCBBFA-53DC-41F7-99B8-9AC769A08335}"/>
    <w:embedBold r:id="rId2" w:fontKey="{FC00C60B-40AA-43AA-805D-09874578A24F}"/>
    <w:embedItalic r:id="rId3" w:fontKey="{AD405623-734C-4F5D-AAEE-5D272F269833}"/>
    <w:embedBoldItalic r:id="rId4" w:fontKey="{66E2C768-A642-46E7-BAC7-4B62B57880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E34B608-B354-426D-B322-792CBCF522B2}"/>
    <w:embedBold r:id="rId6" w:fontKey="{36F996BB-FA10-4972-BB07-79AD458484A2}"/>
    <w:embedItalic r:id="rId7" w:fontKey="{A4BBDCC7-A1AC-4EBD-BDE3-E1EFAB3313B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0DF65A3B-0E17-41D4-9EBC-7CD63A713EC0}"/>
    <w:embedBold r:id="rId9" w:fontKey="{42C321C1-5A7B-4A1F-84BC-61ECC26637C2}"/>
    <w:embedItalic r:id="rId10" w:fontKey="{5442E481-A809-4802-BC0B-9891A168FC71}"/>
    <w:embedBoldItalic r:id="rId11" w:fontKey="{9195E656-F055-4257-AACC-03F36453CA6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2B551F3-D1F1-4B39-8503-A4FA75BE13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2D05886-E87E-47EB-A6E8-BB74EB330C0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B0B60B8-38E2-4979-978D-51F79ECA8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49602" w14:textId="77777777" w:rsidR="00CE40CD" w:rsidRDefault="00CE40CD" w:rsidP="00C9238F">
      <w:pPr>
        <w:spacing w:after="0" w:line="240" w:lineRule="auto"/>
      </w:pPr>
      <w:r>
        <w:separator/>
      </w:r>
    </w:p>
  </w:footnote>
  <w:footnote w:type="continuationSeparator" w:id="0">
    <w:p w14:paraId="7601E974" w14:textId="77777777" w:rsidR="00CE40CD" w:rsidRDefault="00CE40C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52C0F"/>
    <w:rsid w:val="00161CFB"/>
    <w:rsid w:val="001727CA"/>
    <w:rsid w:val="00173E9B"/>
    <w:rsid w:val="00181A74"/>
    <w:rsid w:val="00182E85"/>
    <w:rsid w:val="001868E4"/>
    <w:rsid w:val="001E73F2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17B50"/>
    <w:rsid w:val="00421017"/>
    <w:rsid w:val="0046010C"/>
    <w:rsid w:val="0046118D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13C5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40C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1929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61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2024-09-29T03:40:00Z</dcterms:created>
  <dcterms:modified xsi:type="dcterms:W3CDTF">2024-09-29T03:40:00Z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