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5"/>
        <w:gridCol w:w="3309"/>
        <w:gridCol w:w="1681"/>
        <w:gridCol w:w="3025"/>
      </w:tblGrid>
      <w:tr w:rsidR="00C9238F" w:rsidRPr="006C4987" w14:paraId="104F9DBE" w14:textId="77777777" w:rsidTr="001C2E9E">
        <w:tc>
          <w:tcPr>
            <w:tcW w:w="1021" w:type="pct"/>
            <w:vAlign w:val="center"/>
          </w:tcPr>
          <w:p w14:paraId="06D363B0" w14:textId="42B457F9" w:rsidR="00C9238F" w:rsidRPr="006C498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8E12922" w:rsidR="00C9238F" w:rsidRPr="006C4987" w:rsidRDefault="00F47C8E" w:rsidP="00311FC0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The significance of bilayer window (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) on the performance of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thin film solar cells</w:t>
            </w:r>
          </w:p>
        </w:tc>
      </w:tr>
      <w:tr w:rsidR="00C9238F" w:rsidRPr="006C4987" w14:paraId="41B6DFDE" w14:textId="77777777" w:rsidTr="001C2E9E">
        <w:tc>
          <w:tcPr>
            <w:tcW w:w="1021" w:type="pct"/>
            <w:vAlign w:val="center"/>
          </w:tcPr>
          <w:p w14:paraId="59632982" w14:textId="1B9FC3CD" w:rsidR="00C9238F" w:rsidRPr="006C498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4875F64" w:rsidR="00C9238F" w:rsidRPr="006C4987" w:rsidRDefault="00F47C8E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 xml:space="preserve">N.K. Das, S.F.U. Farhad, A.K. Sen Gupta, E.M.K. </w:t>
            </w:r>
            <w:proofErr w:type="spellStart"/>
            <w:r w:rsidRPr="006C4987">
              <w:rPr>
                <w:rFonts w:ascii="Times New Roman" w:hAnsi="Times New Roman" w:cs="Times New Roman"/>
              </w:rPr>
              <w:t>Ikball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Ahamed, M.A. Matin, N. Amin</w:t>
            </w:r>
          </w:p>
        </w:tc>
      </w:tr>
      <w:tr w:rsidR="00C9238F" w:rsidRPr="006C4987" w14:paraId="1694AB7A" w14:textId="77777777" w:rsidTr="001C2E9E">
        <w:tc>
          <w:tcPr>
            <w:tcW w:w="1021" w:type="pct"/>
            <w:vAlign w:val="center"/>
          </w:tcPr>
          <w:p w14:paraId="1FB726A9" w14:textId="5B2748DE" w:rsidR="00C9238F" w:rsidRPr="006C4987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496734F" w:rsidR="00C9238F" w:rsidRPr="006C4987" w:rsidRDefault="005C57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nowshad</w:t>
            </w:r>
            <w:r w:rsidR="005E19AD" w:rsidRPr="006C4987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6C4987" w14:paraId="3A03CA46" w14:textId="77777777" w:rsidTr="001C2E9E">
        <w:tc>
          <w:tcPr>
            <w:tcW w:w="1021" w:type="pct"/>
            <w:vAlign w:val="center"/>
          </w:tcPr>
          <w:p w14:paraId="60832908" w14:textId="0D234BBC" w:rsidR="00C9238F" w:rsidRPr="006C4987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B807445" w:rsidR="00C9238F" w:rsidRPr="006C4987" w:rsidRDefault="0051655C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Optical Materials</w:t>
            </w:r>
          </w:p>
        </w:tc>
      </w:tr>
      <w:tr w:rsidR="00010104" w:rsidRPr="006C4987" w14:paraId="29260EEE" w14:textId="77777777" w:rsidTr="001C2E9E">
        <w:tc>
          <w:tcPr>
            <w:tcW w:w="1021" w:type="pct"/>
            <w:vAlign w:val="center"/>
          </w:tcPr>
          <w:p w14:paraId="6F11A6E8" w14:textId="1E1D3208" w:rsidR="00010104" w:rsidRPr="006C4987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58EF098" w:rsidR="00010104" w:rsidRPr="006C4987" w:rsidRDefault="00BA13B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6C4987" w14:paraId="0198AB89" w14:textId="77777777" w:rsidTr="001C2E9E">
        <w:tc>
          <w:tcPr>
            <w:tcW w:w="1021" w:type="pct"/>
            <w:vAlign w:val="center"/>
          </w:tcPr>
          <w:p w14:paraId="3E73A81C" w14:textId="6115225D" w:rsidR="00576892" w:rsidRPr="006C4987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49" w:type="pct"/>
            <w:tcBorders>
              <w:bottom w:val="single" w:sz="4" w:space="0" w:color="auto"/>
            </w:tcBorders>
            <w:vAlign w:val="bottom"/>
          </w:tcPr>
          <w:p w14:paraId="76051B5A" w14:textId="1473B54C" w:rsidR="00576892" w:rsidRPr="006C4987" w:rsidRDefault="0051655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6C4987" w:rsidRDefault="00010104" w:rsidP="00576892">
            <w:pPr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05" w:type="pct"/>
            <w:tcBorders>
              <w:bottom w:val="single" w:sz="4" w:space="0" w:color="auto"/>
            </w:tcBorders>
            <w:vAlign w:val="bottom"/>
          </w:tcPr>
          <w:p w14:paraId="73C90383" w14:textId="1A740631" w:rsidR="00576892" w:rsidRPr="006C4987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6C4987" w14:paraId="29A11658" w14:textId="77777777" w:rsidTr="001C2E9E">
        <w:tc>
          <w:tcPr>
            <w:tcW w:w="1021" w:type="pct"/>
            <w:vAlign w:val="center"/>
          </w:tcPr>
          <w:p w14:paraId="6B703DB8" w14:textId="02D4323D" w:rsidR="00852B20" w:rsidRPr="006C4987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386B1C" w:rsidR="00852B20" w:rsidRPr="006C4987" w:rsidRDefault="001828B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 xml:space="preserve">Elsevier </w:t>
            </w:r>
          </w:p>
        </w:tc>
      </w:tr>
      <w:tr w:rsidR="00852B20" w:rsidRPr="006C4987" w14:paraId="0977BFEF" w14:textId="77777777" w:rsidTr="001C2E9E">
        <w:tc>
          <w:tcPr>
            <w:tcW w:w="1021" w:type="pct"/>
            <w:vAlign w:val="center"/>
          </w:tcPr>
          <w:p w14:paraId="4291962E" w14:textId="21980995" w:rsidR="00852B20" w:rsidRPr="006C4987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1CFF660" w:rsidR="00852B20" w:rsidRPr="006C4987" w:rsidRDefault="0080204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Sept.</w:t>
            </w:r>
            <w:r w:rsidR="00BA13B4" w:rsidRPr="006C4987">
              <w:rPr>
                <w:rFonts w:ascii="Times New Roman" w:hAnsi="Times New Roman" w:cs="Times New Roman"/>
              </w:rPr>
              <w:t xml:space="preserve"> 20</w:t>
            </w:r>
            <w:r w:rsidR="002E1C67" w:rsidRPr="006C4987">
              <w:rPr>
                <w:rFonts w:ascii="Times New Roman" w:hAnsi="Times New Roman" w:cs="Times New Roman"/>
              </w:rPr>
              <w:t>24</w:t>
            </w:r>
          </w:p>
        </w:tc>
      </w:tr>
      <w:tr w:rsidR="00852B20" w:rsidRPr="006C4987" w14:paraId="04C32390" w14:textId="77777777" w:rsidTr="001C2E9E">
        <w:tc>
          <w:tcPr>
            <w:tcW w:w="1021" w:type="pct"/>
            <w:vAlign w:val="center"/>
          </w:tcPr>
          <w:p w14:paraId="13D6FAC3" w14:textId="60B44E2E" w:rsidR="00852B20" w:rsidRPr="006C4987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875001E" w:rsidR="00852B20" w:rsidRPr="006C4987" w:rsidRDefault="00C307B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0925-3467</w:t>
            </w:r>
          </w:p>
        </w:tc>
      </w:tr>
      <w:tr w:rsidR="00852B20" w:rsidRPr="006C4987" w14:paraId="6125C715" w14:textId="77777777" w:rsidTr="001C2E9E">
        <w:tc>
          <w:tcPr>
            <w:tcW w:w="1021" w:type="pct"/>
            <w:vAlign w:val="center"/>
          </w:tcPr>
          <w:p w14:paraId="41B57CC6" w14:textId="00281C46" w:rsidR="00852B20" w:rsidRPr="006C4987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45F54CA" w:rsidR="00852B20" w:rsidRPr="006C4987" w:rsidRDefault="0080204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>https://doi.org/10.1016/j.optmat.2024.115816</w:t>
            </w:r>
          </w:p>
        </w:tc>
      </w:tr>
      <w:tr w:rsidR="00C9238F" w:rsidRPr="006C4987" w14:paraId="16A1DAEC" w14:textId="77777777" w:rsidTr="001C2E9E">
        <w:tc>
          <w:tcPr>
            <w:tcW w:w="1021" w:type="pct"/>
            <w:vAlign w:val="center"/>
          </w:tcPr>
          <w:p w14:paraId="58F94C75" w14:textId="1DD14994" w:rsidR="00C9238F" w:rsidRPr="006C4987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C435359" w:rsidR="00C9238F" w:rsidRPr="006C4987" w:rsidRDefault="00C307B7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6C4987">
                <w:rPr>
                  <w:rStyle w:val="Hyperlink"/>
                  <w:rFonts w:ascii="Times New Roman" w:hAnsi="Times New Roman" w:cs="Times New Roman"/>
                </w:rPr>
                <w:t>https://ww</w:t>
              </w:r>
              <w:r w:rsidRPr="006C4987">
                <w:rPr>
                  <w:rStyle w:val="Hyperlink"/>
                  <w:rFonts w:ascii="Times New Roman" w:hAnsi="Times New Roman" w:cs="Times New Roman"/>
                </w:rPr>
                <w:t>w</w:t>
              </w:r>
              <w:r w:rsidRPr="006C4987">
                <w:rPr>
                  <w:rStyle w:val="Hyperlink"/>
                  <w:rFonts w:ascii="Times New Roman" w:hAnsi="Times New Roman" w:cs="Times New Roman"/>
                </w:rPr>
                <w:t>.sciencedirect.com/science/article/abs/pii/S0925346724009996?via%3Dihub</w:t>
              </w:r>
            </w:hyperlink>
            <w:r w:rsidR="009205C0" w:rsidRPr="006C498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6C4987" w14:paraId="204EC2C6" w14:textId="77777777" w:rsidTr="001C2E9E">
        <w:tc>
          <w:tcPr>
            <w:tcW w:w="1021" w:type="pct"/>
            <w:vAlign w:val="center"/>
          </w:tcPr>
          <w:p w14:paraId="07EC2428" w14:textId="01006353" w:rsidR="00852B20" w:rsidRPr="006C4987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A368D8A" w:rsidR="00852B20" w:rsidRPr="006C4987" w:rsidRDefault="00852B20" w:rsidP="004319D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6C4987" w14:paraId="0B169241" w14:textId="77777777" w:rsidTr="001C2E9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6C4987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6C4987" w:rsidRDefault="00852B20">
      <w:pPr>
        <w:rPr>
          <w:rFonts w:ascii="Times New Roman" w:hAnsi="Times New Roman" w:cs="Times New Roman"/>
        </w:rPr>
      </w:pPr>
      <w:r w:rsidRPr="006C4987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6C4987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6C4987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6C4987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6C4987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6C4987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6C4987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6C4987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556E0B0" w14:textId="601752D7" w:rsidR="00852B20" w:rsidRPr="006C4987" w:rsidRDefault="00056AB2" w:rsidP="00E342B1">
            <w:pPr>
              <w:rPr>
                <w:rFonts w:ascii="Times New Roman" w:hAnsi="Times New Roman" w:cs="Times New Roman"/>
              </w:rPr>
            </w:pPr>
            <w:r w:rsidRPr="006C4987">
              <w:rPr>
                <w:rFonts w:ascii="Times New Roman" w:hAnsi="Times New Roman" w:cs="Times New Roman"/>
              </w:rPr>
              <w:t xml:space="preserve">Ultrathin and compact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bilayer window in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solar cells has higher potential for enhanced </w:t>
            </w:r>
            <w:r w:rsidRPr="006C4987">
              <w:rPr>
                <w:rFonts w:ascii="Times New Roman" w:hAnsi="Times New Roman" w:cs="Times New Roman"/>
                <w:i/>
                <w:iCs/>
              </w:rPr>
              <w:t>p</w:t>
            </w:r>
            <w:r w:rsidRPr="006C4987">
              <w:rPr>
                <w:rFonts w:ascii="Times New Roman" w:hAnsi="Times New Roman" w:cs="Times New Roman"/>
              </w:rPr>
              <w:t xml:space="preserve">-type doping, reduced Te diffusion, and improved power conversion efficiency (PCE) compared to traditional single-layer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or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windows. In this effort, we used a two-gun RF sputtering equipment to deposit compact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(</w:t>
            </w:r>
            <w:r w:rsidRPr="006C4987">
              <w:rPr>
                <w:rFonts w:ascii="Cambria Math" w:hAnsi="Cambria Math" w:cs="Cambria Math"/>
              </w:rPr>
              <w:t>∼</w:t>
            </w:r>
            <w:r w:rsidRPr="006C4987">
              <w:rPr>
                <w:rFonts w:ascii="Times New Roman" w:hAnsi="Times New Roman" w:cs="Times New Roman"/>
              </w:rPr>
              <w:t>50 nm)/</w:t>
            </w:r>
            <w:proofErr w:type="spellStart"/>
            <w:proofErr w:type="gram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>(</w:t>
            </w:r>
            <w:proofErr w:type="gramEnd"/>
            <w:r w:rsidRPr="006C4987">
              <w:rPr>
                <w:rFonts w:ascii="Cambria Math" w:hAnsi="Cambria Math" w:cs="Cambria Math"/>
              </w:rPr>
              <w:t>∼</w:t>
            </w:r>
            <w:r w:rsidRPr="006C4987">
              <w:rPr>
                <w:rFonts w:ascii="Times New Roman" w:hAnsi="Times New Roman" w:cs="Times New Roman"/>
              </w:rPr>
              <w:t xml:space="preserve">50 nm) bilayers onto the borosilicate and ITO-coated glass substrates at low temperature (≤250 °C). Intriguingly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bilayers retain its hexagonal {0002} preferential orientation but with around 10.58 % optical bandgap (</w:t>
            </w:r>
            <w:proofErr w:type="spellStart"/>
            <w:r w:rsidRPr="006C4987">
              <w:rPr>
                <w:rFonts w:ascii="Times New Roman" w:hAnsi="Times New Roman" w:cs="Times New Roman"/>
              </w:rPr>
              <w:t>E</w:t>
            </w:r>
            <w:r w:rsidRPr="006C4987">
              <w:rPr>
                <w:rFonts w:ascii="Times New Roman" w:hAnsi="Times New Roman" w:cs="Times New Roman"/>
                <w:vertAlign w:val="subscript"/>
              </w:rPr>
              <w:t>g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) increment compared to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C4987">
              <w:rPr>
                <w:rFonts w:ascii="Times New Roman" w:hAnsi="Times New Roman" w:cs="Times New Roman"/>
              </w:rPr>
              <w:t>E</w:t>
            </w:r>
            <w:r w:rsidRPr="006C4987">
              <w:rPr>
                <w:rFonts w:ascii="Times New Roman" w:hAnsi="Times New Roman" w:cs="Times New Roman"/>
                <w:vertAlign w:val="subscript"/>
              </w:rPr>
              <w:t>g</w:t>
            </w:r>
            <w:proofErr w:type="spellEnd"/>
            <w:r w:rsidRPr="006C4987">
              <w:rPr>
                <w:rFonts w:ascii="Times New Roman" w:hAnsi="Times New Roman" w:cs="Times New Roman"/>
              </w:rPr>
              <w:t> ≈ 2.32 eV) of equal thickness (</w:t>
            </w:r>
            <w:r w:rsidRPr="006C4987">
              <w:rPr>
                <w:rFonts w:ascii="Cambria Math" w:hAnsi="Cambria Math" w:cs="Cambria Math"/>
              </w:rPr>
              <w:t>∼</w:t>
            </w:r>
            <w:r w:rsidRPr="006C4987">
              <w:rPr>
                <w:rFonts w:ascii="Times New Roman" w:hAnsi="Times New Roman" w:cs="Times New Roman"/>
              </w:rPr>
              <w:t xml:space="preserve">100 nm). Close-spaced sublimation (CSS) technique was used to deposit the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thin film onto the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layers at 650 °C. The effect of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layers on the microstructural and morphological features of CdCl</w:t>
            </w:r>
            <w:r w:rsidRPr="006C4987">
              <w:rPr>
                <w:rFonts w:ascii="Times New Roman" w:hAnsi="Times New Roman" w:cs="Times New Roman"/>
                <w:vertAlign w:val="subscript"/>
              </w:rPr>
              <w:t>2</w:t>
            </w:r>
            <w:r w:rsidRPr="006C4987">
              <w:rPr>
                <w:rFonts w:ascii="Times New Roman" w:hAnsi="Times New Roman" w:cs="Times New Roman"/>
              </w:rPr>
              <w:t xml:space="preserve">-treated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films were critically analyzed in revealing a promising {0001}</w:t>
            </w:r>
            <w:proofErr w:type="gramStart"/>
            <w:r w:rsidRPr="006C4987">
              <w:rPr>
                <w:rFonts w:ascii="Times New Roman" w:hAnsi="Times New Roman" w:cs="Times New Roman"/>
              </w:rPr>
              <w:t>/{</w:t>
            </w:r>
            <w:proofErr w:type="gramEnd"/>
            <w:r w:rsidRPr="006C4987">
              <w:rPr>
                <w:rFonts w:ascii="Times New Roman" w:hAnsi="Times New Roman" w:cs="Times New Roman"/>
              </w:rPr>
              <w:t xml:space="preserve">111}-like partial-epitaxy presumably due to the preferential cubic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growth along the &lt;111&gt; orientation. The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films grown over a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layer exhibited smaller average crystallite and grain sizes than those grown over a single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layer. An essential finding was the formation of an optimal intermix layer of CdS</w:t>
            </w:r>
            <w:r w:rsidRPr="006C4987">
              <w:rPr>
                <w:rFonts w:ascii="Times New Roman" w:hAnsi="Times New Roman" w:cs="Times New Roman"/>
                <w:vertAlign w:val="subscript"/>
              </w:rPr>
              <w:t>x</w:t>
            </w:r>
            <w:r w:rsidRPr="006C4987">
              <w:rPr>
                <w:rFonts w:ascii="Times New Roman" w:hAnsi="Times New Roman" w:cs="Times New Roman"/>
              </w:rPr>
              <w:t>Te</w:t>
            </w:r>
            <w:r w:rsidRPr="006C4987">
              <w:rPr>
                <w:rFonts w:ascii="Times New Roman" w:hAnsi="Times New Roman" w:cs="Times New Roman"/>
                <w:vertAlign w:val="subscript"/>
              </w:rPr>
              <w:t>1-x</w:t>
            </w:r>
            <w:r w:rsidRPr="006C4987">
              <w:rPr>
                <w:rFonts w:ascii="Times New Roman" w:hAnsi="Times New Roman" w:cs="Times New Roman"/>
              </w:rPr>
              <w:t xml:space="preserve">, particularly evident in the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films grown on the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bilayer. To comprehensively explore the effect of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window layers on PCE, complete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solar cells were fabricated using three different window layers: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, and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, which are all considered as rudimentary as no layer optimization was performed. Notably,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CdTe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solar cell that incorporates the 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CdS:O</w:t>
            </w:r>
            <w:proofErr w:type="spellEnd"/>
            <w:r w:rsidRPr="006C4987">
              <w:rPr>
                <w:rFonts w:ascii="Times New Roman" w:hAnsi="Times New Roman" w:cs="Times New Roman"/>
              </w:rPr>
              <w:t>/</w:t>
            </w:r>
            <w:proofErr w:type="spellStart"/>
            <w:r w:rsidRPr="006C4987">
              <w:rPr>
                <w:rFonts w:ascii="Times New Roman" w:hAnsi="Times New Roman" w:cs="Times New Roman"/>
              </w:rPr>
              <w:t>CdS</w:t>
            </w:r>
            <w:proofErr w:type="spellEnd"/>
            <w:r w:rsidRPr="006C4987">
              <w:rPr>
                <w:rFonts w:ascii="Times New Roman" w:hAnsi="Times New Roman" w:cs="Times New Roman"/>
              </w:rPr>
              <w:t xml:space="preserve"> bilayer window exhibited the most promising performance among all the tested rudimentary cells and corroborated the numerically simulated findings conducted by the SCAPS-1D simulator.</w:t>
            </w:r>
          </w:p>
        </w:tc>
      </w:tr>
    </w:tbl>
    <w:p w14:paraId="048A3FFA" w14:textId="233F9B9D" w:rsidR="00C9238F" w:rsidRPr="006C4987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RPr="006C4987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F574F1" w14:textId="77777777" w:rsidR="000F133F" w:rsidRDefault="000F133F" w:rsidP="00C9238F">
      <w:pPr>
        <w:spacing w:after="0" w:line="240" w:lineRule="auto"/>
      </w:pPr>
      <w:r>
        <w:separator/>
      </w:r>
    </w:p>
  </w:endnote>
  <w:endnote w:type="continuationSeparator" w:id="0">
    <w:p w14:paraId="3AE503B6" w14:textId="77777777" w:rsidR="000F133F" w:rsidRDefault="000F133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41B8BC-CE5D-4174-B389-5C8EBE24A036}"/>
    <w:embedBold r:id="rId2" w:fontKey="{E0B568F8-500D-424C-8CCE-36C6A81508C4}"/>
    <w:embedItalic r:id="rId3" w:fontKey="{B4DC08AD-9BA0-4470-9457-2C31894075F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A941EB0-0661-4705-B06D-861C4137F6F0}"/>
    <w:embedBold r:id="rId5" w:fontKey="{CAD91544-04A8-4AA4-B66B-C2F54650671D}"/>
    <w:embedItalic r:id="rId6" w:fontKey="{8750DF29-3D61-4742-B890-93B78C884A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1EB9391-113C-4217-A0BB-1ED461EC41B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544F3F-5446-4E3B-89CE-2AA1335A0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383567348" name="Picture 383567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3B2DFA28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19DD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19D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891F4" w14:textId="77777777" w:rsidR="000F133F" w:rsidRDefault="000F133F" w:rsidP="00C9238F">
      <w:pPr>
        <w:spacing w:after="0" w:line="240" w:lineRule="auto"/>
      </w:pPr>
      <w:r>
        <w:separator/>
      </w:r>
    </w:p>
  </w:footnote>
  <w:footnote w:type="continuationSeparator" w:id="0">
    <w:p w14:paraId="2077DFA4" w14:textId="77777777" w:rsidR="000F133F" w:rsidRDefault="000F133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805061704" name="Graphic 805061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24146741">
    <w:abstractNumId w:val="12"/>
  </w:num>
  <w:num w:numId="2" w16cid:durableId="937249599">
    <w:abstractNumId w:val="8"/>
  </w:num>
  <w:num w:numId="3" w16cid:durableId="1711296045">
    <w:abstractNumId w:val="16"/>
  </w:num>
  <w:num w:numId="4" w16cid:durableId="1217469681">
    <w:abstractNumId w:val="13"/>
  </w:num>
  <w:num w:numId="5" w16cid:durableId="166752239">
    <w:abstractNumId w:val="14"/>
  </w:num>
  <w:num w:numId="6" w16cid:durableId="1152990230">
    <w:abstractNumId w:val="20"/>
  </w:num>
  <w:num w:numId="7" w16cid:durableId="1749116072">
    <w:abstractNumId w:val="7"/>
  </w:num>
  <w:num w:numId="8" w16cid:durableId="745565815">
    <w:abstractNumId w:val="11"/>
  </w:num>
  <w:num w:numId="9" w16cid:durableId="1287001345">
    <w:abstractNumId w:val="18"/>
  </w:num>
  <w:num w:numId="10" w16cid:durableId="628126820">
    <w:abstractNumId w:val="2"/>
  </w:num>
  <w:num w:numId="11" w16cid:durableId="677192792">
    <w:abstractNumId w:val="6"/>
  </w:num>
  <w:num w:numId="12" w16cid:durableId="1278415288">
    <w:abstractNumId w:val="1"/>
  </w:num>
  <w:num w:numId="13" w16cid:durableId="577639031">
    <w:abstractNumId w:val="3"/>
  </w:num>
  <w:num w:numId="14" w16cid:durableId="969097308">
    <w:abstractNumId w:val="10"/>
  </w:num>
  <w:num w:numId="15" w16cid:durableId="1983927398">
    <w:abstractNumId w:val="9"/>
  </w:num>
  <w:num w:numId="16" w16cid:durableId="23100986">
    <w:abstractNumId w:val="17"/>
  </w:num>
  <w:num w:numId="17" w16cid:durableId="925456327">
    <w:abstractNumId w:val="4"/>
  </w:num>
  <w:num w:numId="18" w16cid:durableId="1335571444">
    <w:abstractNumId w:val="22"/>
  </w:num>
  <w:num w:numId="19" w16cid:durableId="270748135">
    <w:abstractNumId w:val="19"/>
  </w:num>
  <w:num w:numId="20" w16cid:durableId="1729303824">
    <w:abstractNumId w:val="15"/>
  </w:num>
  <w:num w:numId="21" w16cid:durableId="1754935025">
    <w:abstractNumId w:val="21"/>
  </w:num>
  <w:num w:numId="22" w16cid:durableId="1803036163">
    <w:abstractNumId w:val="5"/>
  </w:num>
  <w:num w:numId="23" w16cid:durableId="78264999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56AB2"/>
    <w:rsid w:val="0006568A"/>
    <w:rsid w:val="00065A07"/>
    <w:rsid w:val="00076F0F"/>
    <w:rsid w:val="00084253"/>
    <w:rsid w:val="000B26A5"/>
    <w:rsid w:val="000D0A38"/>
    <w:rsid w:val="000D1F49"/>
    <w:rsid w:val="000D68B9"/>
    <w:rsid w:val="000F133F"/>
    <w:rsid w:val="00110BAB"/>
    <w:rsid w:val="001415F3"/>
    <w:rsid w:val="001727CA"/>
    <w:rsid w:val="001828B2"/>
    <w:rsid w:val="00190352"/>
    <w:rsid w:val="001A6DB8"/>
    <w:rsid w:val="001A73FD"/>
    <w:rsid w:val="001C2E9E"/>
    <w:rsid w:val="001D6AA9"/>
    <w:rsid w:val="001F47D5"/>
    <w:rsid w:val="001F5CF8"/>
    <w:rsid w:val="0020377B"/>
    <w:rsid w:val="00217BA0"/>
    <w:rsid w:val="002B68E4"/>
    <w:rsid w:val="002C56E6"/>
    <w:rsid w:val="002D3238"/>
    <w:rsid w:val="002E1C67"/>
    <w:rsid w:val="00311FC0"/>
    <w:rsid w:val="00361E11"/>
    <w:rsid w:val="003F0847"/>
    <w:rsid w:val="0040090B"/>
    <w:rsid w:val="00421017"/>
    <w:rsid w:val="00422DED"/>
    <w:rsid w:val="004319DD"/>
    <w:rsid w:val="00445BF2"/>
    <w:rsid w:val="00456D7B"/>
    <w:rsid w:val="0046302A"/>
    <w:rsid w:val="00465B51"/>
    <w:rsid w:val="00487D2D"/>
    <w:rsid w:val="004C5573"/>
    <w:rsid w:val="004D5D62"/>
    <w:rsid w:val="004E5717"/>
    <w:rsid w:val="004F76A2"/>
    <w:rsid w:val="005112D0"/>
    <w:rsid w:val="0051655C"/>
    <w:rsid w:val="00522B79"/>
    <w:rsid w:val="00565A64"/>
    <w:rsid w:val="00576892"/>
    <w:rsid w:val="00577E06"/>
    <w:rsid w:val="00594629"/>
    <w:rsid w:val="005A3BF7"/>
    <w:rsid w:val="005C572C"/>
    <w:rsid w:val="005E19AD"/>
    <w:rsid w:val="005F2035"/>
    <w:rsid w:val="005F7990"/>
    <w:rsid w:val="0060321B"/>
    <w:rsid w:val="006147AE"/>
    <w:rsid w:val="0061784D"/>
    <w:rsid w:val="0063739C"/>
    <w:rsid w:val="00664BE6"/>
    <w:rsid w:val="006C4987"/>
    <w:rsid w:val="006F3435"/>
    <w:rsid w:val="007177F7"/>
    <w:rsid w:val="00770F25"/>
    <w:rsid w:val="00774C74"/>
    <w:rsid w:val="007A0EA4"/>
    <w:rsid w:val="007A35A8"/>
    <w:rsid w:val="007B0A85"/>
    <w:rsid w:val="007C6A52"/>
    <w:rsid w:val="007D020C"/>
    <w:rsid w:val="007E4956"/>
    <w:rsid w:val="007F1DE5"/>
    <w:rsid w:val="00802045"/>
    <w:rsid w:val="00813B2F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205C0"/>
    <w:rsid w:val="00924765"/>
    <w:rsid w:val="0094011E"/>
    <w:rsid w:val="00940E73"/>
    <w:rsid w:val="009456EC"/>
    <w:rsid w:val="0098597D"/>
    <w:rsid w:val="009A1F65"/>
    <w:rsid w:val="009C031A"/>
    <w:rsid w:val="009E311D"/>
    <w:rsid w:val="009F619A"/>
    <w:rsid w:val="009F6DDE"/>
    <w:rsid w:val="009F77CA"/>
    <w:rsid w:val="00A1613A"/>
    <w:rsid w:val="00A370A8"/>
    <w:rsid w:val="00A82A33"/>
    <w:rsid w:val="00AD0AE8"/>
    <w:rsid w:val="00AF6BFE"/>
    <w:rsid w:val="00BA13B4"/>
    <w:rsid w:val="00BC6682"/>
    <w:rsid w:val="00BD4753"/>
    <w:rsid w:val="00BD5CB1"/>
    <w:rsid w:val="00BE62EE"/>
    <w:rsid w:val="00BE7CDA"/>
    <w:rsid w:val="00BF1E6B"/>
    <w:rsid w:val="00C003BA"/>
    <w:rsid w:val="00C26236"/>
    <w:rsid w:val="00C307B7"/>
    <w:rsid w:val="00C333A6"/>
    <w:rsid w:val="00C46878"/>
    <w:rsid w:val="00C55865"/>
    <w:rsid w:val="00C9238F"/>
    <w:rsid w:val="00C96307"/>
    <w:rsid w:val="00CA120A"/>
    <w:rsid w:val="00CA6C88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12B27"/>
    <w:rsid w:val="00E342B1"/>
    <w:rsid w:val="00E52273"/>
    <w:rsid w:val="00E61C09"/>
    <w:rsid w:val="00EB3B58"/>
    <w:rsid w:val="00EC366C"/>
    <w:rsid w:val="00EC7359"/>
    <w:rsid w:val="00EE3054"/>
    <w:rsid w:val="00F00606"/>
    <w:rsid w:val="00F01256"/>
    <w:rsid w:val="00F34E36"/>
    <w:rsid w:val="00F41AFA"/>
    <w:rsid w:val="00F47C8E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36FFC1E8-F21B-4EFB-9786-E489C001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authors-info">
    <w:name w:val="authors-info"/>
    <w:basedOn w:val="DefaultParagraphFont"/>
    <w:rsid w:val="001C2E9E"/>
  </w:style>
  <w:style w:type="character" w:customStyle="1" w:styleId="blue-tooltip">
    <w:name w:val="blue-tooltip"/>
    <w:basedOn w:val="DefaultParagraphFont"/>
    <w:rsid w:val="001C2E9E"/>
  </w:style>
  <w:style w:type="character" w:styleId="UnresolvedMention">
    <w:name w:val="Unresolved Mention"/>
    <w:basedOn w:val="DefaultParagraphFont"/>
    <w:uiPriority w:val="99"/>
    <w:semiHidden/>
    <w:unhideWhenUsed/>
    <w:rsid w:val="00945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4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cedirect.com/science/article/abs/pii/S0925346724009996?via%3Dihub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834CF5-24E2-4204-AE6E-EB10C290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4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Nowshad Amin</dc:creator>
  <cp:keywords/>
  <dc:description/>
  <cp:lastModifiedBy>Dr. Nowshad Amin</cp:lastModifiedBy>
  <cp:revision>8</cp:revision>
  <cp:lastPrinted>2024-09-26T08:22:00Z</cp:lastPrinted>
  <dcterms:created xsi:type="dcterms:W3CDTF">2024-10-20T04:16:00Z</dcterms:created>
  <dcterms:modified xsi:type="dcterms:W3CDTF">2024-10-20T04:30:00Z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