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r>
    </w:p>
    <w:tbl>
      <w:tblPr>
        <w:tblW w:w="9180" w:type="dxa"/>
        <w:jc w:val="left"/>
        <w:tblInd w:w="10" w:type="dxa"/>
        <w:tblLayout w:type="fixed"/>
        <w:tblCellMar>
          <w:top w:w="0" w:type="dxa"/>
          <w:left w:w="10" w:type="dxa"/>
          <w:bottom w:w="0" w:type="dxa"/>
          <w:right w:w="10" w:type="dxa"/>
        </w:tblCellMar>
        <w:tblLook w:firstRow="1" w:noVBand="1" w:lastRow="0" w:firstColumn="1" w:lastColumn="0" w:noHBand="0" w:val="04a0"/>
      </w:tblPr>
      <w:tblGrid>
        <w:gridCol w:w="2269"/>
        <w:gridCol w:w="6910"/>
      </w:tblGrid>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Title</w:t>
            </w:r>
          </w:p>
        </w:tc>
        <w:tc>
          <w:tcPr>
            <w:tcW w:w="6910" w:type="dxa"/>
            <w:tcBorders>
              <w:top w:val="single" w:sz="18" w:space="0" w:color="007F00"/>
              <w:bottom w:val="single" w:sz="4" w:space="0" w:color="007F00"/>
            </w:tcBorders>
          </w:tcPr>
          <w:p>
            <w:pPr>
              <w:pStyle w:val="NoSpacing"/>
              <w:rPr>
                <w:b/>
                <w:bCs/>
              </w:rPr>
            </w:pPr>
            <w:r>
              <w:rPr>
                <w:rFonts w:eastAsia="" w:cs="" w:ascii="Garamond" w:hAnsi="Garamond" w:cstheme="majorBidi" w:eastAsiaTheme="majorEastAsia"/>
                <w:b/>
                <w:bCs/>
                <w:spacing w:val="-10"/>
                <w:kern w:val="2"/>
                <w:sz w:val="24"/>
                <w:szCs w:val="24"/>
              </w:rPr>
              <w:t>Keith Davis’s Human Relations Theory could create Human Relations to reach Sound Industrial Relations (SIRs) in the Garment Sector of Bangladesh</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Author(s)</w:t>
            </w:r>
          </w:p>
        </w:tc>
        <w:tc>
          <w:tcPr>
            <w:tcW w:w="6910" w:type="dxa"/>
            <w:tcBorders/>
          </w:tcPr>
          <w:p>
            <w:pPr>
              <w:pStyle w:val="Normal"/>
              <w:spacing w:before="0" w:after="160"/>
              <w:rPr>
                <w:b/>
                <w:bCs/>
              </w:rPr>
            </w:pPr>
            <w:r>
              <w:rPr>
                <w:b/>
                <w:bCs/>
                <w:sz w:val="24"/>
                <w:szCs w:val="24"/>
              </w:rPr>
              <w:t>Nargis Akhter, Rezbin Nahar, Israt Jerin Dolon</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Contact Email(s)</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nargis.akhter@seu.edu.bd, rezbin@aiub.edu, dolonisrat7@gmail.com</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Published Journal</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Business Review- A Journal of Business Administration Discipline, Khulna University</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Type of Publication</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Journal article</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Volume</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15</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Issue</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1</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Publisher</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Khulna University</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Publication Date</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January-December 2020</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ISSN</w:t>
            </w:r>
          </w:p>
        </w:tc>
        <w:tc>
          <w:tcPr>
            <w:tcW w:w="6910" w:type="dxa"/>
            <w:tcBorders/>
          </w:tcPr>
          <w:p>
            <w:pPr>
              <w:pStyle w:val="Normal"/>
              <w:widowControl/>
              <w:bidi w:val="0"/>
              <w:spacing w:lineRule="auto" w:line="259" w:before="0" w:after="160"/>
              <w:jc w:val="left"/>
              <w:rPr>
                <w:rFonts w:ascii="Segoe UI" w:hAnsi="Segoe UI"/>
                <w:sz w:val="24"/>
                <w:szCs w:val="24"/>
              </w:rPr>
            </w:pPr>
            <w:r>
              <w:rPr>
                <w:rFonts w:ascii="Segoe UI" w:hAnsi="Segoe UI"/>
                <w:sz w:val="24"/>
                <w:szCs w:val="24"/>
              </w:rPr>
              <w:t>1811-3788; Online ISSN: 2664-3502</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DOI</w:t>
            </w:r>
          </w:p>
        </w:tc>
        <w:tc>
          <w:tcPr>
            <w:tcW w:w="6910"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URL</w:t>
            </w:r>
          </w:p>
        </w:tc>
        <w:tc>
          <w:tcPr>
            <w:tcW w:w="6910"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Other Related Info.</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Pages 53-62</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Keywords</w:t>
            </w:r>
          </w:p>
        </w:tc>
        <w:tc>
          <w:tcPr>
            <w:tcW w:w="6910" w:type="dxa"/>
            <w:tcBorders>
              <w:top w:val="single" w:sz="4" w:space="0" w:color="007F00"/>
              <w:bottom w:val="single" w:sz="4" w:space="0" w:color="007F00"/>
            </w:tcBorders>
          </w:tcPr>
          <w:p>
            <w:pPr>
              <w:pStyle w:val="Normal"/>
              <w:spacing w:before="60" w:after="60"/>
              <w:rPr>
                <w:sz w:val="24"/>
                <w:szCs w:val="24"/>
              </w:rPr>
            </w:pPr>
            <w:r>
              <w:rPr>
                <w:rFonts w:cs="Segoe UI" w:ascii="Segoe UI" w:hAnsi="Segoe UI"/>
                <w:sz w:val="24"/>
                <w:szCs w:val="24"/>
              </w:rPr>
              <w:t>Keith Davis’s Human Relations Theory, Theories of Industrial Relations, Garment Sector of Bangladesh, Conceptual Frame Work, Industrial Unrest, Sound Industrial Relations(SIRs).</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Citation</w:t>
            </w:r>
          </w:p>
        </w:tc>
        <w:tc>
          <w:tcPr>
            <w:tcW w:w="6910" w:type="dxa"/>
            <w:tcBorders>
              <w:top w:val="single" w:sz="4"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r>
        <w:br w:type="page"/>
      </w:r>
    </w:p>
    <w:p>
      <w:pPr>
        <w:pStyle w:val="Normal"/>
        <w:spacing w:before="0" w:after="160"/>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9026"/>
      </w:tblGrid>
      <w:tr>
        <w:trPr/>
        <w:tc>
          <w:tcPr>
            <w:tcW w:w="9026" w:type="dxa"/>
            <w:tcBorders>
              <w:bottom w:val="single" w:sz="18" w:space="0" w:color="007F00"/>
            </w:tcBorders>
          </w:tcPr>
          <w:p>
            <w:pPr>
              <w:pStyle w:val="Normal"/>
              <w:spacing w:before="60" w:after="60"/>
              <w:rPr/>
            </w:pPr>
            <w:r>
              <w:rPr>
                <w:rFonts w:cs="Segoe UI" w:ascii="Segoe UI" w:hAnsi="Segoe UI"/>
                <w:color w:val="158466"/>
                <w:sz w:val="24"/>
                <w:szCs w:val="24"/>
              </w:rPr>
              <w:t>Abstract :</w:t>
            </w:r>
            <w:r>
              <w:rPr>
                <w:rFonts w:cs="Segoe UI" w:ascii="Segoe UI" w:hAnsi="Segoe UI"/>
                <w:color w:val="000000"/>
                <w:sz w:val="24"/>
                <w:szCs w:val="24"/>
              </w:rPr>
              <w:t xml:space="preserve"> </w:t>
            </w:r>
            <w:r>
              <w:rPr>
                <w:rFonts w:cs="Segoe UI" w:ascii="Segoe UI" w:hAnsi="Segoe UI"/>
                <w:color w:val="000000"/>
              </w:rPr>
              <w:t>Purpose: In this study, an attempt has been made to analyze the prospect of Keith Davis’s Human Relations Theory in developing and maintaining SIRs in the garment sector of Bangladesh. Methodology: A review of the available literature on the Garment sector in Bangladesh revealed that there are frequent industrial unrests in Bangladesh Garment Sector. Still, none of the industrial relations theories can play a role in developing and maintaining SIRs in Bangladesh's garment sector. This condition has enthused the authors to develop a conceptual framework based on Keith Davis Human Relations Theory to create Human relations to reach SIRs in the Garment sector of Bangladesh. Findings: The study provides a conceptual framework mainly based on Keith Davis’s Human Relations Theory which can create human relations to reach SIRs in the garment sector of Bangladesh. Furthermore, the Keith Davis’s Human Relations Theory can be considered as the avenue to cover the unitary approach's view and the views of Dunlop System theory, pluralistic theory and social action theory. Research Limitations: The researchers developed a conceptual framework based on Keith Davis’s Human Relations Theory to develop and maintain SIRs in the garment sector of Bangladesh but its empirical study is yet to be conducted. Originality: The current state of labor relations in Bangladesh's garment industry is discussed in the study. There has been literature on industrial relations, SIRs and Human Relations theory. The relevant literature review shows that not a single study has been conducted to date to investigate if the Keith Davis Human Relations Theory can promote SIRs in Bangladesh's garment sector.</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r>
          </w:p>
          <w:p>
            <w:pPr>
              <w:pStyle w:val="Normal"/>
              <w:spacing w:before="60" w:after="60"/>
              <w:rPr>
                <w:sz w:val="24"/>
                <w:szCs w:val="24"/>
              </w:rPr>
            </w:pPr>
            <w:r>
              <w:rPr>
                <w:rFonts w:cs="Segoe UI" w:ascii="Segoe UI" w:hAnsi="Segoe UI"/>
                <w:color w:val="007F00"/>
                <w:sz w:val="24"/>
                <w:szCs w:val="24"/>
              </w:rPr>
              <w:t>Sustainable Development Goal(s) (SDG)</w:t>
            </w:r>
          </w:p>
        </w:tc>
      </w:tr>
      <w:tr>
        <w:trPr/>
        <w:tc>
          <w:tcPr>
            <w:tcW w:w="9026" w:type="dxa"/>
            <w:tcBorders>
              <w:top w:val="single" w:sz="18" w:space="0" w:color="007F00"/>
              <w:bottom w:val="single" w:sz="18" w:space="0" w:color="007F00"/>
            </w:tcBorders>
          </w:tcPr>
          <w:p>
            <w:pPr>
              <w:pStyle w:val="Normal"/>
              <w:spacing w:before="60" w:after="60"/>
              <w:rPr>
                <w:sz w:val="24"/>
                <w:szCs w:val="24"/>
              </w:rPr>
            </w:pPr>
            <w:r>
              <w:rPr>
                <w:rFonts w:cs="Segoe UI" w:ascii="Segoe UI" w:hAnsi="Segoe UI"/>
                <w:sz w:val="24"/>
                <w:szCs w:val="24"/>
              </w:rPr>
              <w:t xml:space="preserve"> </w:t>
            </w:r>
          </w:p>
        </w:tc>
      </w:tr>
    </w:tbl>
    <w:p>
      <w:pPr>
        <w:pStyle w:val="Normal"/>
        <w:rPr>
          <w:rFonts w:cs="Calibri" w:cstheme="minorHAnsi"/>
        </w:rPr>
      </w:pPr>
      <w:r>
        <w:rPr>
          <w:rFonts w:cs="Calibri" w:cstheme="minorHAnsi"/>
        </w:rPr>
      </w:r>
    </w:p>
    <w:p>
      <w:pPr>
        <w:pStyle w:val="Normal"/>
        <w:spacing w:before="0" w:after="160"/>
        <w:rPr>
          <w:rFonts w:cs="Calibri" w:cstheme="minorHAnsi"/>
        </w:rPr>
      </w:pPr>
      <w:r>
        <w:rPr>
          <w:rFonts w:cs="Calibri" w:cstheme="minorHAnsi"/>
        </w:rPr>
      </w:r>
    </w:p>
    <w:sectPr>
      <w:headerReference w:type="default" r:id="rId2"/>
      <w:footerReference w:type="default" r:id="rId3"/>
      <w:type w:val="nextPage"/>
      <w:pgSz w:w="11906" w:h="16838"/>
      <w:pgMar w:left="1440" w:right="1440" w:gutter="0" w:header="0" w:top="1440" w:footer="14" w:bottom="1008"/>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UI">
    <w:charset w:val="00"/>
    <w:family w:val="roman"/>
    <w:pitch w:val="variable"/>
  </w:font>
  <w:font w:name="Liberation Sans">
    <w:altName w:val="Arial"/>
    <w:charset w:val="00"/>
    <w:family w:val="roman"/>
    <w:pitch w:val="variable"/>
  </w:font>
  <w:font w:name="Segoe UI">
    <w:charset w:val="00"/>
    <w:family w:val="roman"/>
    <w:pitch w:val="variable"/>
  </w:font>
  <w:font w:name="Garamond">
    <w:charset w:val="00"/>
    <w:family w:val="roman"/>
    <w:pitch w:val="variable"/>
  </w:font>
  <w:font w:name="Segoe U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90" w:type="dxa"/>
      <w:jc w:val="left"/>
      <w:tblInd w:w="10" w:type="dxa"/>
      <w:tblLayout w:type="fixed"/>
      <w:tblCellMar>
        <w:top w:w="0" w:type="dxa"/>
        <w:left w:w="10" w:type="dxa"/>
        <w:bottom w:w="0" w:type="dxa"/>
        <w:right w:w="10" w:type="dxa"/>
      </w:tblCellMar>
      <w:tblLook w:firstRow="1" w:noVBand="1" w:lastRow="0" w:firstColumn="1" w:lastColumn="0" w:noHBand="0" w:val="04a0"/>
    </w:tblPr>
    <w:tblGrid>
      <w:gridCol w:w="4636"/>
      <w:gridCol w:w="5853"/>
    </w:tblGrid>
    <w:tr>
      <w:trPr>
        <w:trHeight w:val="543" w:hRule="atLeast"/>
      </w:trPr>
      <w:tc>
        <w:tcPr>
          <w:tcW w:w="4636" w:type="dxa"/>
          <w:tcBorders/>
          <w:vAlign w:val="center"/>
        </w:tcPr>
        <w:p>
          <w:pPr>
            <w:pStyle w:val="Normal"/>
            <w:tabs>
              <w:tab w:val="clear" w:pos="720"/>
              <w:tab w:val="center" w:pos="4680" w:leader="none"/>
              <w:tab w:val="right" w:pos="9810" w:leader="none"/>
            </w:tabs>
            <w:spacing w:lineRule="auto" w:line="240" w:before="0" w:after="0"/>
            <w:rPr>
              <w:sz w:val="18"/>
              <w:szCs w:val="24"/>
            </w:rPr>
          </w:pPr>
          <w:r>
            <w:rPr>
              <w:sz w:val="18"/>
              <w:szCs w:val="24"/>
            </w:rPr>
          </w:r>
        </w:p>
      </w:tc>
      <w:tc>
        <w:tcPr>
          <w:tcW w:w="5853" w:type="dxa"/>
          <w:tcBorders/>
          <w:vAlign w:val="bottom"/>
        </w:tcPr>
        <w:sdt>
          <w:sdtPr>
            <w:docPartObj>
              <w:docPartGallery w:val="Page Numbers (Top of Page)"/>
              <w:docPartUnique w:val="true"/>
            </w:docPartObj>
            <w:id w:val="-1769616900"/>
          </w:sdtPr>
          <w:sdtContent>
            <w:p>
              <w:pPr>
                <w:pStyle w:val="Normal"/>
                <w:jc w:val="right"/>
                <w:rPr>
                  <w:rFonts w:ascii="Segoe UI Light" w:hAnsi="Segoe UI Light" w:cs="Segoe UI Light"/>
                </w:rPr>
              </w:pPr>
              <w:r>
                <w:rPr>
                  <w:rFonts w:cs="Segoe UI Light" w:ascii="Segoe UI Light" w:hAnsi="Segoe UI Light"/>
                </w:rPr>
                <w:t xml:space="preserve"> </w:t>
              </w:r>
              <w:r>
                <w:rPr>
                  <w:rFonts w:cs="Segoe UI Light" w:ascii="Segoe UI Light" w:hAnsi="Segoe UI Light"/>
                </w:rPr>
                <w:t xml:space="preserve">Page </w:t>
              </w:r>
              <w:r>
                <w:rPr>
                  <w:rFonts w:cs="Segoe UI Light" w:ascii="Segoe UI Light" w:hAnsi="Segoe UI Light"/>
                  <w:sz w:val="24"/>
                </w:rPr>
                <w:fldChar w:fldCharType="begin"/>
              </w:r>
              <w:r>
                <w:rPr>
                  <w:sz w:val="24"/>
                  <w:rFonts w:cs="Segoe UI Light" w:ascii="Segoe UI Light" w:hAnsi="Segoe UI Light"/>
                </w:rPr>
                <w:instrText xml:space="preserve"> PAGE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r>
                <w:rPr>
                  <w:rFonts w:cs="Segoe UI Light" w:ascii="Segoe UI Light" w:hAnsi="Segoe UI Light"/>
                </w:rPr>
                <w:t xml:space="preserve"> of </w:t>
              </w:r>
              <w:r>
                <w:rPr>
                  <w:rFonts w:cs="Segoe UI Light" w:ascii="Segoe UI Light" w:hAnsi="Segoe UI Light"/>
                  <w:sz w:val="24"/>
                </w:rPr>
                <w:fldChar w:fldCharType="begin"/>
              </w:r>
              <w:r>
                <w:rPr>
                  <w:sz w:val="24"/>
                  <w:rFonts w:cs="Segoe UI Light" w:ascii="Segoe UI Light" w:hAnsi="Segoe UI Light"/>
                </w:rPr>
                <w:instrText xml:space="preserve"> NUMPAGES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p>
          </w:sdtContent>
        </w:sdt>
        <w:p>
          <w:pPr>
            <w:pStyle w:val="Normal"/>
            <w:tabs>
              <w:tab w:val="clear" w:pos="720"/>
              <w:tab w:val="center" w:pos="4680" w:leader="none"/>
              <w:tab w:val="right" w:pos="9810" w:leader="none"/>
            </w:tabs>
            <w:spacing w:lineRule="auto" w:line="240" w:before="0" w:after="0"/>
            <w:jc w:val="right"/>
            <w:rPr>
              <w:sz w:val="18"/>
              <w:szCs w:val="24"/>
            </w:rPr>
          </w:pPr>
          <w:r>
            <w:rPr>
              <w:sz w:val="18"/>
              <w:szCs w:val="24"/>
            </w:rPr>
          </w:r>
        </w:p>
      </w:tc>
    </w:tr>
  </w:tbl>
  <w:p>
    <w:pPr>
      <w:pStyle w:val="Normal"/>
      <w:widowControl/>
      <w:bidi w:val="0"/>
      <w:spacing w:lineRule="auto" w:line="259" w:before="0" w:after="160"/>
      <w:jc w:val="left"/>
      <w:rPr/>
    </w:pPr>
    <w:r>
      <w:rPr/>
      <mc:AlternateContent>
        <mc:Choice Requires="wps">
          <w:drawing>
            <wp:anchor behindDoc="1" distT="0" distB="0" distL="0" distR="0" simplePos="0" locked="0" layoutInCell="1" allowOverlap="1" relativeHeight="4" wp14:anchorId="198C4FA1">
              <wp:simplePos x="0" y="0"/>
              <wp:positionH relativeFrom="column">
                <wp:posOffset>48260</wp:posOffset>
              </wp:positionH>
              <wp:positionV relativeFrom="paragraph">
                <wp:posOffset>-372110</wp:posOffset>
              </wp:positionV>
              <wp:extent cx="4381500" cy="422910"/>
              <wp:effectExtent l="0" t="0" r="0" b="0"/>
              <wp:wrapNone/>
              <wp:docPr id="2" name="Text Box 1"/>
              <a:graphic xmlns:a="http://schemas.openxmlformats.org/drawingml/2006/main">
                <a:graphicData uri="http://schemas.microsoft.com/office/word/2010/wordprocessingShape">
                  <wps:wsp>
                    <wps:cNvSpPr/>
                    <wps:spPr>
                      <a:xfrm>
                        <a:off x="0" y="0"/>
                        <a:ext cx="4381560" cy="423000"/>
                      </a:xfrm>
                      <a:prstGeom prst="rect">
                        <a:avLst/>
                      </a:prstGeom>
                      <a:noFill/>
                      <a:ln w="6350">
                        <a:noFill/>
                      </a:ln>
                    </wps:spPr>
                    <wps:style>
                      <a:lnRef idx="0"/>
                      <a:fillRef idx="0"/>
                      <a:effectRef idx="0"/>
                      <a:fontRef idx="minor"/>
                    </wps:style>
                    <wps:txb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wps:txbx>
                    <wps:bodyPr lIns="0" rIns="0" tIns="0" bIns="0" anchor="t">
                      <a:prstTxWarp prst="textNoShape"/>
                      <a:noAutofit/>
                    </wps:bodyPr>
                  </wps:wsp>
                </a:graphicData>
              </a:graphic>
            </wp:anchor>
          </w:drawing>
        </mc:Choice>
        <mc:Fallback>
          <w:pict>
            <v:rect id="shape_0" ID="Text Box 1" path="m0,0l-2147483645,0l-2147483645,-2147483646l0,-2147483646xe" stroked="f" o:allowincell="f" style="position:absolute;margin-left:3.8pt;margin-top:-29.3pt;width:344.95pt;height:33.25pt;mso-wrap-style:square;v-text-anchor:top" wp14:anchorId="198C4FA1">
              <v:fill o:detectmouseclick="t" on="false"/>
              <v:stroke color="#3465a4" weight="6480" joinstyle="round" endcap="flat"/>
              <v:textbo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v:textbox>
              <w10:wrap type="none"/>
            </v:rect>
          </w:pict>
        </mc:Fallback>
      </mc:AlternateContent>
      <w:drawing>
        <wp:anchor behindDoc="1" distT="0" distB="0" distL="0" distR="0" simplePos="0" locked="0" layoutInCell="1" allowOverlap="1" relativeHeight="9">
          <wp:simplePos x="0" y="0"/>
          <wp:positionH relativeFrom="column">
            <wp:posOffset>-739775</wp:posOffset>
          </wp:positionH>
          <wp:positionV relativeFrom="paragraph">
            <wp:posOffset>-499745</wp:posOffset>
          </wp:positionV>
          <wp:extent cx="638175" cy="63817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638175" cy="6381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233" w:type="dxa"/>
      <w:jc w:val="left"/>
      <w:tblInd w:w="-1429" w:type="dxa"/>
      <w:tblLayout w:type="fixed"/>
      <w:tblCellMar>
        <w:top w:w="0" w:type="dxa"/>
        <w:left w:w="10" w:type="dxa"/>
        <w:bottom w:w="0" w:type="dxa"/>
        <w:right w:w="10" w:type="dxa"/>
      </w:tblCellMar>
      <w:tblLook w:firstRow="1" w:noVBand="1" w:lastRow="0" w:firstColumn="1" w:lastColumn="0" w:noHBand="0" w:val="04a0"/>
    </w:tblPr>
    <w:tblGrid>
      <w:gridCol w:w="1766"/>
      <w:gridCol w:w="10466"/>
    </w:tblGrid>
    <w:tr>
      <w:trPr>
        <w:trHeight w:val="1417" w:hRule="atLeast"/>
      </w:trPr>
      <w:tc>
        <w:tcPr>
          <w:tcW w:w="1766" w:type="dxa"/>
          <w:tcBorders/>
          <w:shd w:color="auto" w:fill="AEAAAA" w:themeFill="background2" w:themeFillShade="bf" w:val="clear"/>
          <w:vAlign w:val="center"/>
        </w:tcPr>
        <w:p>
          <w:pPr>
            <w:pStyle w:val="Normal"/>
            <w:tabs>
              <w:tab w:val="clear" w:pos="720"/>
              <w:tab w:val="center" w:pos="4680" w:leader="none"/>
              <w:tab w:val="right" w:pos="9360" w:leader="none"/>
            </w:tabs>
            <w:spacing w:before="0" w:after="0"/>
            <w:jc w:val="center"/>
            <w:rPr>
              <w:rFonts w:ascii="Segoe UI" w:hAnsi="Segoe UI" w:eastAsia="Calibri" w:cs="Segoe UI"/>
              <w:b/>
              <w:bCs/>
              <w:color w:themeColor="accent3" w:val="BF678E"/>
              <w:sz w:val="40"/>
              <w:szCs w:val="20"/>
            </w:rPr>
          </w:pPr>
          <w:r>
            <w:rPr/>
            <w:drawing>
              <wp:inline distT="0" distB="0" distL="0" distR="0">
                <wp:extent cx="640080" cy="640080"/>
                <wp:effectExtent l="0" t="0" r="0" b="0"/>
                <wp:docPr id="1"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inline>
            </w:drawing>
          </w:r>
        </w:p>
      </w:tc>
      <w:tc>
        <w:tcPr>
          <w:tcW w:w="10466" w:type="dxa"/>
          <w:tcBorders/>
          <w:shd w:color="auto" w:fill="92D050" w:val="clear"/>
          <w:vAlign w:val="center"/>
        </w:tcPr>
        <w:p>
          <w:pPr>
            <w:pStyle w:val="Normal"/>
            <w:tabs>
              <w:tab w:val="clear" w:pos="720"/>
              <w:tab w:val="center" w:pos="4680" w:leader="none"/>
              <w:tab w:val="right" w:pos="9360" w:leader="none"/>
            </w:tabs>
            <w:spacing w:before="0" w:after="0"/>
            <w:ind w:left="402"/>
            <w:rPr>
              <w:rFonts w:ascii="Segoe UI" w:hAnsi="Segoe UI" w:eastAsia="Calibri" w:cs="Segoe UI"/>
              <w:b/>
              <w:bCs/>
              <w:color w:themeColor="background1" w:val="FFFFFF"/>
              <w:sz w:val="40"/>
              <w:szCs w:val="20"/>
            </w:rPr>
          </w:pPr>
          <w:r>
            <w:rPr>
              <w:rFonts w:eastAsia="Calibri" w:cs="Segoe UI" w:ascii="Segoe UI" w:hAnsi="Segoe UI"/>
              <w:b/>
              <w:bCs/>
              <w:color w:themeColor="background1" w:val="FFFFFF"/>
              <w:sz w:val="40"/>
              <w:szCs w:val="20"/>
            </w:rPr>
            <w:t xml:space="preserve">AIUB DSpace </w:t>
          </w:r>
          <w:r>
            <w:rPr>
              <w:rFonts w:eastAsia="Calibri" w:cs="Segoe UI Light" w:ascii="Segoe UI Light" w:hAnsi="Segoe UI Light"/>
              <w:color w:themeColor="background1" w:val="FFFFFF"/>
              <w:sz w:val="40"/>
              <w:szCs w:val="20"/>
            </w:rPr>
            <w:t>Publication Details</w:t>
          </w:r>
        </w:p>
      </w:tc>
    </w:tr>
  </w:tbl>
  <w:p>
    <w:pPr>
      <w:pStyle w:val="Normal"/>
      <w:spacing w:before="0" w:after="160"/>
      <w:rPr>
        <w:rFonts w:ascii="Segoe UI" w:hAnsi="Segoe UI" w:cs="Segoe UI"/>
        <w:b/>
        <w:bCs/>
        <w:sz w:val="14"/>
        <w:szCs w:val="24"/>
      </w:rPr>
    </w:pPr>
    <w:r>
      <w:rPr>
        <w:rFonts w:cs="Segoe UI" w:ascii="Segoe UI" w:hAnsi="Segoe UI"/>
        <w:b/>
        <w:bCs/>
        <w:sz w:val="1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2"/>
      <w:sz w:val="22"/>
      <w:szCs w:val="22"/>
      <w:lang w:val="en-US" w:eastAsia="zh-CN" w:bidi="ar-SA"/>
      <w14:ligatures w14:val="standardContextual"/>
    </w:rPr>
  </w:style>
  <w:style w:type="character" w:styleId="DefaultParagraphFont" w:default="1">
    <w:name w:val="Default Paragraph Font"/>
    <w:uiPriority w:val="1"/>
    <w:semiHidden/>
    <w:unhideWhenUsed/>
    <w:qFormat/>
    <w:rPr/>
  </w:style>
  <w:style w:type="character" w:styleId="Name" w:customStyle="1">
    <w:name w:val="name"/>
    <w:basedOn w:val="DefaultParagraphFont"/>
    <w:qFormat/>
    <w:rsid w:val="009f2fad"/>
    <w:rPr/>
  </w:style>
  <w:style w:type="character" w:styleId="Affiliation" w:customStyle="1">
    <w:name w:val="affiliation"/>
    <w:basedOn w:val="DefaultParagraphFont"/>
    <w:qFormat/>
    <w:rsid w:val="009f2fad"/>
    <w:rPr/>
  </w:style>
  <w:style w:type="character" w:styleId="Strong">
    <w:name w:val="Strong"/>
    <w:basedOn w:val="DefaultParagraphFont"/>
    <w:uiPriority w:val="22"/>
    <w:qFormat/>
    <w:rsid w:val="009f2fad"/>
    <w:rPr>
      <w:b/>
      <w:bCs/>
    </w:rPr>
  </w:style>
  <w:style w:type="character" w:styleId="Fontstyle01" w:customStyle="1">
    <w:name w:val="fontstyle01"/>
    <w:basedOn w:val="DefaultParagraphFont"/>
    <w:qFormat/>
    <w:rsid w:val="009f2fad"/>
    <w:rPr>
      <w:rFonts w:ascii="SegoeUI" w:hAnsi="SegoeUI"/>
      <w:b w:val="false"/>
      <w:bCs w:val="false"/>
      <w:i w:val="false"/>
      <w:iCs w:val="false"/>
      <w:color w:val="000000"/>
      <w:sz w:val="24"/>
      <w:szCs w:val="24"/>
    </w:rPr>
  </w:style>
  <w:style w:type="character" w:styleId="HeaderChar" w:customStyle="1">
    <w:name w:val="Header Char"/>
    <w:basedOn w:val="DefaultParagraphFont"/>
    <w:link w:val="Header"/>
    <w:uiPriority w:val="99"/>
    <w:qFormat/>
    <w:rsid w:val="00264498"/>
    <w:rPr/>
  </w:style>
  <w:style w:type="character" w:styleId="FooterChar" w:customStyle="1">
    <w:name w:val="Footer Char"/>
    <w:basedOn w:val="DefaultParagraphFont"/>
    <w:link w:val="Footer"/>
    <w:uiPriority w:val="99"/>
    <w:qFormat/>
    <w:rsid w:val="00264498"/>
    <w:rPr/>
  </w:style>
  <w:style w:type="character" w:styleId="FootnoteCharacters">
    <w:name w:val="Footnote Characters"/>
    <w:uiPriority w:val="99"/>
    <w:semiHidden/>
    <w:unhideWhenUsed/>
    <w:qFormat/>
    <w:rsid w:val="00b3741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b37410"/>
    <w:rPr>
      <w:color w:themeColor="hyperlink" w:val="BF678E"/>
      <w:u w:val="single"/>
    </w:rPr>
  </w:style>
  <w:style w:type="character" w:styleId="UnresolvedMention">
    <w:name w:val="Unresolved Mention"/>
    <w:basedOn w:val="DefaultParagraphFont"/>
    <w:uiPriority w:val="99"/>
    <w:semiHidden/>
    <w:unhideWhenUsed/>
    <w:qFormat/>
    <w:rsid w:val="00b37410"/>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f2fad"/>
    <w:pPr>
      <w:spacing w:lineRule="auto" w:line="240" w:beforeAutospacing="1" w:afterAutospacing="1"/>
    </w:pPr>
    <w:rPr>
      <w:rFonts w:ascii="Times New Roman" w:hAnsi="Times New Roman" w:eastAsia="Times New Roman" w:cs="Times New Roman"/>
      <w:kern w:val="0"/>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644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64498"/>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b37410"/>
    <w:pPr>
      <w:widowControl/>
      <w:suppressAutoHyphens w:val="true"/>
      <w:bidi w:val="0"/>
      <w:spacing w:lineRule="auto" w:line="240" w:before="0" w:after="0"/>
      <w:jc w:val="left"/>
    </w:pPr>
    <w:rPr>
      <w:rFonts w:ascii="Calibri" w:hAnsi="Calibri" w:eastAsia="Calibri" w:cs="" w:eastAsiaTheme="minorHAnsi"/>
      <w:color w:val="auto"/>
      <w:kern w:val="0"/>
      <w:sz w:val="22"/>
      <w:szCs w:val="22"/>
      <w:lang w:val="en-US" w:eastAsia="en-US"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Custom 1">
      <a:dk1>
        <a:srgbClr val="000000"/>
      </a:dk1>
      <a:lt1>
        <a:srgbClr val="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TotalTime>
  <Application>LibreOffice/7.6.4.1$Windows_X86_64 LibreOffice_project/e19e193f88cd6c0525a17fb7a176ed8e6a3e2aa1</Application>
  <AppVersion>15.0000</AppVersion>
  <Pages>2</Pages>
  <Words>387</Words>
  <Characters>2308</Characters>
  <CharactersWithSpaces>2665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2025-04-30T16:55:00Z</dcterms:created>
  <dc:creator>ASUS</dc:creator>
  <dc:description/>
  <dc:language>en-US</dc:language>
  <cp:lastModifiedBy/>
  <dcterms:modified xsi:type="dcterms:W3CDTF">2025-05-01T15:25:21Z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