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3"/>
        <w:gridCol w:w="3262"/>
        <w:gridCol w:w="1587"/>
        <w:gridCol w:w="3068"/>
      </w:tblGrid>
      <w:tr w:rsidR="00C9238F" w:rsidRPr="005E19AD" w14:paraId="104F9DBE" w14:textId="77777777" w:rsidTr="00813BD4">
        <w:tc>
          <w:tcPr>
            <w:tcW w:w="797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203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5312D804" w:rsidR="00C9238F" w:rsidRPr="00EB4037" w:rsidRDefault="00EB4037" w:rsidP="00482A84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hyperlink r:id="rId11" w:history="1">
              <w:r w:rsidRPr="00EB4037">
                <w:rPr>
                  <w:rStyle w:val="Hyperlink"/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Response Surface Modeling on Blood-Based Micropolar Hybrid Nanofluid flow through a rectangular channel</w:t>
              </w:r>
            </w:hyperlink>
          </w:p>
        </w:tc>
      </w:tr>
      <w:tr w:rsidR="00C9238F" w:rsidRPr="005E19AD" w14:paraId="41B6DFDE" w14:textId="77777777" w:rsidTr="00813BD4">
        <w:tc>
          <w:tcPr>
            <w:tcW w:w="797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203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06EE26FC" w:rsidR="00C9238F" w:rsidRPr="0071589D" w:rsidRDefault="00EB4037" w:rsidP="00145680">
            <w:pPr>
              <w:spacing w:before="240"/>
              <w:rPr>
                <w:rFonts w:ascii="Times New Roman" w:hAnsi="Times New Roman" w:cs="Times New Roman"/>
                <w:sz w:val="22"/>
                <w:szCs w:val="22"/>
              </w:rPr>
            </w:pPr>
            <w:r w:rsidRPr="00EB4037">
              <w:rPr>
                <w:rFonts w:ascii="Times New Roman" w:hAnsi="Times New Roman" w:cs="Times New Roman"/>
                <w:sz w:val="22"/>
                <w:szCs w:val="22"/>
              </w:rPr>
              <w:t>Muhammad Sajjad Hossain, MMH Imran, MM Billah, Md Abdul Alim</w:t>
            </w:r>
          </w:p>
        </w:tc>
      </w:tr>
      <w:tr w:rsidR="00C9238F" w:rsidRPr="005E19AD" w14:paraId="1694AB7A" w14:textId="77777777" w:rsidTr="00813BD4">
        <w:tc>
          <w:tcPr>
            <w:tcW w:w="797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203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0B9FF949" w:rsidR="00C9238F" w:rsidRPr="005E19AD" w:rsidRDefault="00482A8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imran.math@aiub.edu</w:t>
            </w:r>
          </w:p>
        </w:tc>
      </w:tr>
      <w:tr w:rsidR="00C9238F" w:rsidRPr="005E19AD" w14:paraId="3A03CA46" w14:textId="77777777" w:rsidTr="00813BD4">
        <w:tc>
          <w:tcPr>
            <w:tcW w:w="797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203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5C9BC25D" w:rsidR="00C9238F" w:rsidRPr="005E19AD" w:rsidRDefault="00482A8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82A84">
              <w:rPr>
                <w:rFonts w:ascii="Times New Roman" w:hAnsi="Times New Roman" w:cs="Times New Roman"/>
              </w:rPr>
              <w:t>International Journal of Thermofluids</w:t>
            </w:r>
          </w:p>
        </w:tc>
      </w:tr>
      <w:tr w:rsidR="00010104" w:rsidRPr="005E19AD" w14:paraId="29260EEE" w14:textId="77777777" w:rsidTr="00813BD4">
        <w:tc>
          <w:tcPr>
            <w:tcW w:w="797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203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0999B15C" w:rsidR="00010104" w:rsidRPr="005E19AD" w:rsidRDefault="009157BC" w:rsidP="00145680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  <w:r w:rsidR="00863CB7">
              <w:rPr>
                <w:rFonts w:ascii="Times New Roman" w:hAnsi="Times New Roman" w:cs="Times New Roman"/>
              </w:rPr>
              <w:t xml:space="preserve"> Paper</w:t>
            </w:r>
          </w:p>
        </w:tc>
      </w:tr>
      <w:tr w:rsidR="00576892" w:rsidRPr="005E19AD" w14:paraId="0198AB89" w14:textId="77777777" w:rsidTr="00813BD4">
        <w:tc>
          <w:tcPr>
            <w:tcW w:w="797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733" w:type="pct"/>
            <w:tcBorders>
              <w:bottom w:val="single" w:sz="4" w:space="0" w:color="auto"/>
            </w:tcBorders>
            <w:vAlign w:val="bottom"/>
          </w:tcPr>
          <w:p w14:paraId="76051B5A" w14:textId="278DB876" w:rsidR="00576892" w:rsidRPr="005E19AD" w:rsidRDefault="00482A8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EB403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40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629" w:type="pct"/>
            <w:tcBorders>
              <w:bottom w:val="single" w:sz="4" w:space="0" w:color="auto"/>
            </w:tcBorders>
            <w:vAlign w:val="bottom"/>
          </w:tcPr>
          <w:p w14:paraId="73C90383" w14:textId="02EA3D7E" w:rsidR="00576892" w:rsidRPr="005E19AD" w:rsidRDefault="00EB403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29A11658" w14:textId="77777777" w:rsidTr="00813BD4">
        <w:tc>
          <w:tcPr>
            <w:tcW w:w="797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203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75B148C2" w:rsidR="00852B20" w:rsidRPr="00D473EA" w:rsidRDefault="00482A84" w:rsidP="009157BC">
            <w:pPr>
              <w:rPr>
                <w:rFonts w:ascii="Times New Roman" w:hAnsi="Times New Roman" w:cs="Times New Roman"/>
                <w:i/>
                <w:iCs/>
                <w:sz w:val="20"/>
              </w:rPr>
            </w:pPr>
            <w:r w:rsidRPr="00EB403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Elsevier</w:t>
            </w:r>
          </w:p>
        </w:tc>
      </w:tr>
      <w:tr w:rsidR="00852B20" w:rsidRPr="005E19AD" w14:paraId="0977BFEF" w14:textId="77777777" w:rsidTr="00813BD4">
        <w:tc>
          <w:tcPr>
            <w:tcW w:w="797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203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4C33658E" w:rsidR="00852B20" w:rsidRPr="005E19AD" w:rsidRDefault="00DD636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EB4037">
              <w:rPr>
                <w:rFonts w:ascii="Times New Roman" w:hAnsi="Times New Roman" w:cs="Times New Roman"/>
              </w:rPr>
              <w:t>June</w:t>
            </w:r>
            <w:r w:rsidR="009157BC">
              <w:rPr>
                <w:rFonts w:ascii="Times New Roman" w:hAnsi="Times New Roman" w:cs="Times New Roman"/>
              </w:rPr>
              <w:t xml:space="preserve"> </w:t>
            </w:r>
            <w:r w:rsidR="00EB4037">
              <w:rPr>
                <w:rFonts w:ascii="Times New Roman" w:hAnsi="Times New Roman" w:cs="Times New Roman"/>
              </w:rPr>
              <w:t>25</w:t>
            </w:r>
            <w:r w:rsidR="009157BC">
              <w:rPr>
                <w:rFonts w:ascii="Times New Roman" w:hAnsi="Times New Roman" w:cs="Times New Roman"/>
              </w:rPr>
              <w:t>, 202</w:t>
            </w:r>
            <w:r w:rsidR="00EB4037">
              <w:rPr>
                <w:rFonts w:ascii="Times New Roman" w:hAnsi="Times New Roman" w:cs="Times New Roman"/>
              </w:rPr>
              <w:t>5</w:t>
            </w:r>
          </w:p>
        </w:tc>
      </w:tr>
      <w:tr w:rsidR="00852B20" w:rsidRPr="005E19AD" w14:paraId="04C32390" w14:textId="77777777" w:rsidTr="00813BD4">
        <w:tc>
          <w:tcPr>
            <w:tcW w:w="797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203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12FD41D9" w:rsidR="00852B20" w:rsidRPr="005E19AD" w:rsidRDefault="00482A84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2666-2027</w:t>
            </w:r>
          </w:p>
        </w:tc>
      </w:tr>
      <w:tr w:rsidR="00852B20" w:rsidRPr="005E19AD" w14:paraId="6125C715" w14:textId="77777777" w:rsidTr="00813BD4">
        <w:tc>
          <w:tcPr>
            <w:tcW w:w="797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203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040E0AF1" w:rsidR="00852B20" w:rsidRPr="00C333A6" w:rsidRDefault="00EB4037" w:rsidP="00C333A6">
            <w:pPr>
              <w:spacing w:before="240"/>
              <w:rPr>
                <w:rFonts w:ascii="Times New Roman" w:hAnsi="Times New Roman" w:cs="Times New Roman"/>
              </w:rPr>
            </w:pPr>
            <w:hyperlink r:id="rId12" w:history="1">
              <w:r w:rsidRPr="008D3DB9">
                <w:rPr>
                  <w:rStyle w:val="Hyperlink"/>
                  <w:rFonts w:ascii="Times New Roman" w:hAnsi="Times New Roman" w:cs="Times New Roman"/>
                </w:rPr>
                <w:t>https://doi.org/10.1016/j.ijft.2025.101296</w:t>
              </w:r>
            </w:hyperlink>
          </w:p>
        </w:tc>
      </w:tr>
      <w:tr w:rsidR="00813BD4" w:rsidRPr="005E19AD" w14:paraId="16A1DAEC" w14:textId="77777777" w:rsidTr="00813BD4">
        <w:tc>
          <w:tcPr>
            <w:tcW w:w="797" w:type="pct"/>
            <w:vAlign w:val="center"/>
          </w:tcPr>
          <w:p w14:paraId="58F94C75" w14:textId="7E5AE992" w:rsidR="00813BD4" w:rsidRPr="005E19AD" w:rsidRDefault="00813BD4" w:rsidP="00813BD4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203" w:type="pct"/>
            <w:gridSpan w:val="3"/>
            <w:tcBorders>
              <w:bottom w:val="single" w:sz="4" w:space="0" w:color="auto"/>
            </w:tcBorders>
            <w:vAlign w:val="center"/>
          </w:tcPr>
          <w:p w14:paraId="6EF70C5A" w14:textId="488A0468" w:rsidR="00813BD4" w:rsidRPr="006905C2" w:rsidRDefault="00EB4037" w:rsidP="00813BD4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  <w:hyperlink r:id="rId13" w:history="1">
              <w:r w:rsidRPr="008D3DB9">
                <w:rPr>
                  <w:rStyle w:val="Hyperlink"/>
                  <w:rFonts w:ascii="Times New Roman" w:hAnsi="Times New Roman" w:cs="Times New Roman"/>
                </w:rPr>
                <w:t>https://www.sciencedirect.com/science/article/pii/S2666202725002435</w:t>
              </w:r>
            </w:hyperlink>
            <w:r>
              <w:rPr>
                <w:rFonts w:ascii="Times New Roman" w:hAnsi="Times New Roman" w:cs="Times New Roman"/>
                <w:u w:val="single"/>
              </w:rPr>
              <w:t xml:space="preserve"> </w:t>
            </w:r>
          </w:p>
        </w:tc>
      </w:tr>
      <w:tr w:rsidR="00813BD4" w:rsidRPr="005E19AD" w14:paraId="204EC2C6" w14:textId="77777777" w:rsidTr="00813BD4">
        <w:tc>
          <w:tcPr>
            <w:tcW w:w="797" w:type="pct"/>
            <w:vAlign w:val="center"/>
          </w:tcPr>
          <w:p w14:paraId="07EC2428" w14:textId="42CDFAAE" w:rsidR="00813BD4" w:rsidRPr="005E19AD" w:rsidRDefault="00813BD4" w:rsidP="00813BD4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203" w:type="pct"/>
            <w:gridSpan w:val="3"/>
            <w:tcBorders>
              <w:bottom w:val="single" w:sz="4" w:space="0" w:color="auto"/>
            </w:tcBorders>
            <w:vAlign w:val="bottom"/>
          </w:tcPr>
          <w:p w14:paraId="107E7105" w14:textId="77777777" w:rsidR="00813BD4" w:rsidRDefault="00813BD4" w:rsidP="00813BD4">
            <w:pPr>
              <w:spacing w:before="240"/>
            </w:pPr>
          </w:p>
          <w:p w14:paraId="0933B90C" w14:textId="61817C90" w:rsidR="00813BD4" w:rsidRPr="005E19AD" w:rsidRDefault="00813BD4" w:rsidP="00813BD4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NA</w:t>
            </w:r>
          </w:p>
        </w:tc>
      </w:tr>
      <w:tr w:rsidR="00813BD4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vAlign w:val="bottom"/>
          </w:tcPr>
          <w:p w14:paraId="5A585DE2" w14:textId="77777777" w:rsidR="00813BD4" w:rsidRPr="005E19AD" w:rsidRDefault="00813BD4" w:rsidP="00813BD4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  <w:tr w:rsidR="00813BD4" w:rsidRPr="005E19AD" w14:paraId="6055DA0B" w14:textId="77777777" w:rsidTr="00576892">
        <w:trPr>
          <w:trHeight w:val="54"/>
        </w:trPr>
        <w:tc>
          <w:tcPr>
            <w:tcW w:w="5000" w:type="pct"/>
            <w:gridSpan w:val="4"/>
            <w:vAlign w:val="bottom"/>
          </w:tcPr>
          <w:p w14:paraId="42012C47" w14:textId="77777777" w:rsidR="00813BD4" w:rsidRDefault="00813BD4" w:rsidP="00813BD4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710DEB44" w14:textId="77777777" w:rsidR="00813BD4" w:rsidRDefault="00813BD4" w:rsidP="00813BD4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41681D34" w14:textId="77777777" w:rsidR="00813BD4" w:rsidRDefault="00813BD4" w:rsidP="00813BD4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5CBDD564" w14:textId="77777777" w:rsidR="00813BD4" w:rsidRDefault="00813BD4" w:rsidP="00813BD4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780AA0BF" w14:textId="77777777" w:rsidR="00813BD4" w:rsidRDefault="00813BD4" w:rsidP="00813BD4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1F81D389" w14:textId="77777777" w:rsidR="00813BD4" w:rsidRDefault="00813BD4" w:rsidP="00813BD4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6A385EAF" w14:textId="77777777" w:rsidR="00813BD4" w:rsidRDefault="00813BD4" w:rsidP="00813BD4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6BC83DAB" w14:textId="77777777" w:rsidR="00813BD4" w:rsidRDefault="00813BD4" w:rsidP="00813BD4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28D80CDE" w14:textId="77777777" w:rsidR="00813BD4" w:rsidRDefault="00813BD4" w:rsidP="00813BD4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58D4EA76" w14:textId="77777777" w:rsidR="00813BD4" w:rsidRDefault="00813BD4" w:rsidP="00813BD4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05E6B634" w14:textId="77777777" w:rsidR="00813BD4" w:rsidRDefault="00813BD4" w:rsidP="00813BD4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3B1A26F6" w14:textId="77777777" w:rsidR="00813BD4" w:rsidRDefault="00813BD4" w:rsidP="00813BD4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6C431B2A" w14:textId="77777777" w:rsidR="00813BD4" w:rsidRDefault="00813BD4" w:rsidP="00813BD4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7EED7218" w14:textId="77777777" w:rsidR="00813BD4" w:rsidRDefault="00813BD4" w:rsidP="00813BD4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68E19AC1" w14:textId="08F629A1" w:rsidR="00813BD4" w:rsidRDefault="00813BD4" w:rsidP="00813BD4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66A7CE17" w14:textId="4E9A48EF" w:rsidR="00482A84" w:rsidRDefault="00482A84" w:rsidP="00813BD4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0FECC6FA" w14:textId="099A299C" w:rsidR="00482A84" w:rsidRDefault="00482A84" w:rsidP="00813BD4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7A3AEF67" w14:textId="41FF494A" w:rsidR="00482A84" w:rsidRDefault="00482A84" w:rsidP="00813BD4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79AB73EC" w14:textId="418B0EFC" w:rsidR="00482A84" w:rsidRDefault="00482A84" w:rsidP="00813BD4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0ECAA2E8" w14:textId="0ED84B17" w:rsidR="00482A84" w:rsidRDefault="00482A84" w:rsidP="00813BD4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7583E785" w14:textId="77777777" w:rsidR="00813BD4" w:rsidRPr="005E19AD" w:rsidRDefault="00813BD4" w:rsidP="00813BD4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931093" w:rsidRPr="005E19AD" w14:paraId="3AB8C5CA" w14:textId="77777777" w:rsidTr="00931093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54EFBF7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C913C0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</w:tbl>
    <w:p w14:paraId="048A3FFA" w14:textId="766692F7" w:rsidR="00C9238F" w:rsidRPr="00EB4037" w:rsidRDefault="00EB4037" w:rsidP="00EB4037">
      <w:pPr>
        <w:pStyle w:val="NoSpacing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4037">
        <w:rPr>
          <w:rFonts w:ascii="Times New Roman" w:hAnsi="Times New Roman" w:cs="Times New Roman"/>
          <w:sz w:val="24"/>
          <w:szCs w:val="24"/>
        </w:rPr>
        <w:t xml:space="preserve">The unsteady viscous non-Newtonian Micropolar fluid in a 2D channel </w:t>
      </w:r>
      <w:proofErr w:type="gramStart"/>
      <w:r w:rsidRPr="00EB4037">
        <w:rPr>
          <w:rFonts w:ascii="Times New Roman" w:hAnsi="Times New Roman" w:cs="Times New Roman"/>
          <w:sz w:val="24"/>
          <w:szCs w:val="24"/>
        </w:rPr>
        <w:t>flow</w:t>
      </w:r>
      <w:proofErr w:type="gramEnd"/>
      <w:r w:rsidRPr="00EB4037">
        <w:rPr>
          <w:rFonts w:ascii="Times New Roman" w:hAnsi="Times New Roman" w:cs="Times New Roman"/>
          <w:sz w:val="24"/>
          <w:szCs w:val="24"/>
        </w:rPr>
        <w:t xml:space="preserve"> between two permeable walls that are slowly expanding or contracting, driven by applications in industrial and biomedical process. Under the assumption of symmetric </w:t>
      </w:r>
      <w:proofErr w:type="gramStart"/>
      <w:r w:rsidRPr="00EB4037">
        <w:rPr>
          <w:rFonts w:ascii="Times New Roman" w:hAnsi="Times New Roman" w:cs="Times New Roman"/>
          <w:sz w:val="24"/>
          <w:szCs w:val="24"/>
        </w:rPr>
        <w:t>injection</w:t>
      </w:r>
      <w:proofErr w:type="gramEnd"/>
      <w:r w:rsidRPr="00EB4037">
        <w:rPr>
          <w:rFonts w:ascii="Times New Roman" w:hAnsi="Times New Roman" w:cs="Times New Roman"/>
          <w:sz w:val="24"/>
          <w:szCs w:val="24"/>
        </w:rPr>
        <w:t xml:space="preserve"> or </w:t>
      </w:r>
      <w:proofErr w:type="gramStart"/>
      <w:r w:rsidRPr="00EB4037">
        <w:rPr>
          <w:rFonts w:ascii="Times New Roman" w:hAnsi="Times New Roman" w:cs="Times New Roman"/>
          <w:sz w:val="24"/>
          <w:szCs w:val="24"/>
        </w:rPr>
        <w:t>suction</w:t>
      </w:r>
      <w:proofErr w:type="gramEnd"/>
      <w:r w:rsidRPr="00EB4037">
        <w:rPr>
          <w:rFonts w:ascii="Times New Roman" w:hAnsi="Times New Roman" w:cs="Times New Roman"/>
          <w:sz w:val="24"/>
          <w:szCs w:val="24"/>
        </w:rPr>
        <w:t xml:space="preserve"> along the uniformly growing porous walls, we have considered a new model. With the help of similarity transformations and vorticity definition, the governing equations are converted into a system of nonlinear ordinary differential equations. The resultant equations are subsequently solved numerically with MATLAB built-in software ‘bvp4c’. The impact of controlling parameters on flow profiles has been analyzed numerically and illustrated graphically. Furthermore, sensitivity analysis is carried out for friction </w:t>
      </w:r>
      <w:proofErr w:type="gramStart"/>
      <w:r w:rsidRPr="00EB4037">
        <w:rPr>
          <w:rFonts w:ascii="Times New Roman" w:hAnsi="Times New Roman" w:cs="Times New Roman"/>
          <w:sz w:val="24"/>
          <w:szCs w:val="24"/>
        </w:rPr>
        <w:t>factor</w:t>
      </w:r>
      <w:proofErr w:type="gramEnd"/>
      <w:r w:rsidRPr="00EB4037">
        <w:rPr>
          <w:rFonts w:ascii="Times New Roman" w:hAnsi="Times New Roman" w:cs="Times New Roman"/>
          <w:sz w:val="24"/>
          <w:szCs w:val="24"/>
        </w:rPr>
        <w:t xml:space="preserve"> and Nusselt </w:t>
      </w:r>
      <w:proofErr w:type="gramStart"/>
      <w:r w:rsidRPr="00EB4037">
        <w:rPr>
          <w:rFonts w:ascii="Times New Roman" w:hAnsi="Times New Roman" w:cs="Times New Roman"/>
          <w:sz w:val="24"/>
          <w:szCs w:val="24"/>
        </w:rPr>
        <w:t>number</w:t>
      </w:r>
      <w:proofErr w:type="gramEnd"/>
      <w:r w:rsidRPr="00EB4037">
        <w:rPr>
          <w:rFonts w:ascii="Times New Roman" w:hAnsi="Times New Roman" w:cs="Times New Roman"/>
          <w:sz w:val="24"/>
          <w:szCs w:val="24"/>
        </w:rPr>
        <w:t xml:space="preserve"> using response surface modelling </w:t>
      </w:r>
      <w:proofErr w:type="gramStart"/>
      <w:r w:rsidRPr="00EB4037">
        <w:rPr>
          <w:rFonts w:ascii="Times New Roman" w:hAnsi="Times New Roman" w:cs="Times New Roman"/>
          <w:sz w:val="24"/>
          <w:szCs w:val="24"/>
        </w:rPr>
        <w:t>in order to</w:t>
      </w:r>
      <w:proofErr w:type="gramEnd"/>
      <w:r w:rsidRPr="00EB4037">
        <w:rPr>
          <w:rFonts w:ascii="Times New Roman" w:hAnsi="Times New Roman" w:cs="Times New Roman"/>
          <w:sz w:val="24"/>
          <w:szCs w:val="24"/>
        </w:rPr>
        <w:t xml:space="preserve"> find the impact of </w:t>
      </w:r>
      <w:r w:rsidRPr="00EB4037">
        <w:rPr>
          <w:rFonts w:ascii="Times New Roman" w:hAnsi="Times New Roman" w:cs="Times New Roman"/>
          <w:sz w:val="24"/>
          <w:szCs w:val="24"/>
        </w:rPr>
        <w:t>Ha, K</w:t>
      </w:r>
      <w:r w:rsidRPr="00EB4037">
        <w:rPr>
          <w:rFonts w:ascii="Times New Roman" w:hAnsi="Times New Roman" w:cs="Times New Roman"/>
          <w:sz w:val="24"/>
          <w:szCs w:val="24"/>
        </w:rPr>
        <w:t xml:space="preserve"> and N on friction </w:t>
      </w:r>
      <w:proofErr w:type="gramStart"/>
      <w:r w:rsidRPr="00EB4037">
        <w:rPr>
          <w:rFonts w:ascii="Times New Roman" w:hAnsi="Times New Roman" w:cs="Times New Roman"/>
          <w:sz w:val="24"/>
          <w:szCs w:val="24"/>
        </w:rPr>
        <w:t>factor</w:t>
      </w:r>
      <w:proofErr w:type="gramEnd"/>
      <w:r w:rsidRPr="00EB4037">
        <w:rPr>
          <w:rFonts w:ascii="Times New Roman" w:hAnsi="Times New Roman" w:cs="Times New Roman"/>
          <w:sz w:val="24"/>
          <w:szCs w:val="24"/>
        </w:rPr>
        <w:t xml:space="preserve"> and </w:t>
      </w:r>
      <w:proofErr w:type="spellStart"/>
      <w:r w:rsidRPr="00EB4037">
        <w:rPr>
          <w:rFonts w:ascii="Times New Roman" w:hAnsi="Times New Roman" w:cs="Times New Roman"/>
          <w:sz w:val="24"/>
          <w:szCs w:val="24"/>
        </w:rPr>
        <w:t>Pr</w:t>
      </w:r>
      <w:proofErr w:type="spellEnd"/>
      <w:r w:rsidRPr="00EB4037">
        <w:rPr>
          <w:rFonts w:ascii="Times New Roman" w:hAnsi="Times New Roman" w:cs="Times New Roman"/>
          <w:sz w:val="24"/>
          <w:szCs w:val="24"/>
        </w:rPr>
        <w:t xml:space="preserve">, Re and Ha on Nusselt </w:t>
      </w:r>
      <w:r w:rsidRPr="00EB4037">
        <w:rPr>
          <w:rFonts w:ascii="Times New Roman" w:hAnsi="Times New Roman" w:cs="Times New Roman"/>
          <w:sz w:val="24"/>
          <w:szCs w:val="24"/>
        </w:rPr>
        <w:t>numbers</w:t>
      </w:r>
      <w:r w:rsidRPr="00EB403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EB4037">
        <w:rPr>
          <w:rFonts w:ascii="Times New Roman" w:hAnsi="Times New Roman" w:cs="Times New Roman"/>
          <w:sz w:val="24"/>
          <w:szCs w:val="24"/>
        </w:rPr>
        <w:t>Thermal</w:t>
      </w:r>
      <w:proofErr w:type="gramEnd"/>
      <w:r w:rsidRPr="00EB4037">
        <w:rPr>
          <w:rFonts w:ascii="Times New Roman" w:hAnsi="Times New Roman" w:cs="Times New Roman"/>
          <w:sz w:val="24"/>
          <w:szCs w:val="24"/>
        </w:rPr>
        <w:t xml:space="preserve"> profile </w:t>
      </w:r>
      <w:proofErr w:type="gramStart"/>
      <w:r w:rsidRPr="00EB4037">
        <w:rPr>
          <w:rFonts w:ascii="Times New Roman" w:hAnsi="Times New Roman" w:cs="Times New Roman"/>
          <w:sz w:val="24"/>
          <w:szCs w:val="24"/>
        </w:rPr>
        <w:t>showing</w:t>
      </w:r>
      <w:proofErr w:type="gramEnd"/>
      <w:r w:rsidRPr="00EB4037">
        <w:rPr>
          <w:rFonts w:ascii="Times New Roman" w:hAnsi="Times New Roman" w:cs="Times New Roman"/>
          <w:sz w:val="24"/>
          <w:szCs w:val="24"/>
        </w:rPr>
        <w:t xml:space="preserve"> </w:t>
      </w:r>
      <w:r w:rsidRPr="00EB4037">
        <w:rPr>
          <w:rFonts w:ascii="Times New Roman" w:hAnsi="Times New Roman" w:cs="Times New Roman"/>
          <w:sz w:val="24"/>
          <w:szCs w:val="24"/>
        </w:rPr>
        <w:t>a negative</w:t>
      </w:r>
      <w:r w:rsidRPr="00EB4037">
        <w:rPr>
          <w:rFonts w:ascii="Times New Roman" w:hAnsi="Times New Roman" w:cs="Times New Roman"/>
          <w:sz w:val="24"/>
          <w:szCs w:val="24"/>
        </w:rPr>
        <w:t xml:space="preserve"> correlation with the Ha but </w:t>
      </w:r>
      <w:r w:rsidRPr="00EB4037">
        <w:rPr>
          <w:rFonts w:ascii="Times New Roman" w:hAnsi="Times New Roman" w:cs="Times New Roman"/>
          <w:sz w:val="24"/>
          <w:szCs w:val="24"/>
        </w:rPr>
        <w:t>a positive</w:t>
      </w:r>
      <w:r w:rsidRPr="00EB4037">
        <w:rPr>
          <w:rFonts w:ascii="Times New Roman" w:hAnsi="Times New Roman" w:cs="Times New Roman"/>
          <w:sz w:val="24"/>
          <w:szCs w:val="24"/>
        </w:rPr>
        <w:t xml:space="preserve"> correlation with Re. Ha </w:t>
      </w:r>
      <w:r w:rsidRPr="00EB4037">
        <w:rPr>
          <w:rFonts w:ascii="Times New Roman" w:hAnsi="Times New Roman" w:cs="Times New Roman"/>
          <w:sz w:val="24"/>
          <w:szCs w:val="24"/>
        </w:rPr>
        <w:t>increases</w:t>
      </w:r>
      <w:r w:rsidRPr="00EB4037">
        <w:rPr>
          <w:rFonts w:ascii="Times New Roman" w:hAnsi="Times New Roman" w:cs="Times New Roman"/>
          <w:sz w:val="24"/>
          <w:szCs w:val="24"/>
        </w:rPr>
        <w:t xml:space="preserve"> the non-dimensional heat transfer rates for the upper plate. The regression R2 value is close to 1 for every case. Micropolar parameter’s quadratic term (K2) having p-value 0.476 &gt; 0.05 </w:t>
      </w:r>
      <w:r w:rsidRPr="00EB4037">
        <w:rPr>
          <w:rFonts w:ascii="Times New Roman" w:hAnsi="Times New Roman" w:cs="Times New Roman"/>
          <w:sz w:val="24"/>
          <w:szCs w:val="24"/>
        </w:rPr>
        <w:t>gives</w:t>
      </w:r>
      <w:r w:rsidRPr="00EB4037">
        <w:rPr>
          <w:rFonts w:ascii="Times New Roman" w:hAnsi="Times New Roman" w:cs="Times New Roman"/>
          <w:sz w:val="24"/>
          <w:szCs w:val="24"/>
        </w:rPr>
        <w:t xml:space="preserve"> less significant impact for Nusselt number and friction </w:t>
      </w:r>
      <w:r w:rsidRPr="00EB4037">
        <w:rPr>
          <w:rFonts w:ascii="Times New Roman" w:hAnsi="Times New Roman" w:cs="Times New Roman"/>
          <w:sz w:val="24"/>
          <w:szCs w:val="24"/>
        </w:rPr>
        <w:t>factors</w:t>
      </w:r>
      <w:r w:rsidRPr="00EB4037">
        <w:rPr>
          <w:rFonts w:ascii="Times New Roman" w:hAnsi="Times New Roman" w:cs="Times New Roman"/>
          <w:sz w:val="24"/>
          <w:szCs w:val="24"/>
        </w:rPr>
        <w:t>. The response surface equations are developed for the study of regression model’s strength employing the Analysis of Variance.</w:t>
      </w:r>
    </w:p>
    <w:sectPr w:rsidR="00C9238F" w:rsidRPr="00EB4037" w:rsidSect="00975C3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2FFA80" w14:textId="77777777" w:rsidR="00B21616" w:rsidRDefault="00B21616" w:rsidP="00C9238F">
      <w:pPr>
        <w:spacing w:after="0" w:line="240" w:lineRule="auto"/>
      </w:pPr>
      <w:r>
        <w:separator/>
      </w:r>
    </w:p>
  </w:endnote>
  <w:endnote w:type="continuationSeparator" w:id="0">
    <w:p w14:paraId="65A24550" w14:textId="77777777" w:rsidR="00B21616" w:rsidRDefault="00B21616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599A84-F89C-4171-8D62-5BF7E9A86334}"/>
    <w:embedBold r:id="rId2" w:fontKey="{A8DA8845-B9CE-4898-8E68-ECBB9D4C1DB5}"/>
    <w:embedItalic r:id="rId3" w:fontKey="{37BD5B77-71D6-4942-8BEB-6B62A28C8CC4}"/>
    <w:embedBoldItalic r:id="rId4" w:fontKey="{87A2EEF0-0A3A-41CA-960C-A52D8E4B6ED9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66D71828-CA13-4B31-A9B7-1467C72F4CEF}"/>
    <w:embedBold r:id="rId6" w:fontKey="{BFD69FF5-595F-4253-A8A3-F9A0E2B70755}"/>
    <w:embedItalic r:id="rId7" w:fontKey="{988C2BF5-C0FC-4C8A-982C-2E1650897C5C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DEF9BA74-9ACC-45A6-8B17-B7D3358B1DD0}"/>
    <w:embedBold r:id="rId9" w:fontKey="{2C21F162-AC92-42E4-B971-0F88592EA394}"/>
    <w:embedItalic r:id="rId10" w:fontKey="{D9F348D4-3871-4822-A77F-C7BC14E259CF}"/>
    <w:embedBoldItalic r:id="rId11" w:fontKey="{97B144F8-4E76-4D5F-A3A9-0FB8E17C7250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905985AB-7874-4057-9732-CF234BC2E0F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38898252-79A9-4B1C-A646-7DDC4255D6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7510B4" w14:textId="77777777" w:rsidR="00B21616" w:rsidRDefault="00B21616" w:rsidP="00C9238F">
      <w:pPr>
        <w:spacing w:after="0" w:line="240" w:lineRule="auto"/>
      </w:pPr>
      <w:r>
        <w:separator/>
      </w:r>
    </w:p>
  </w:footnote>
  <w:footnote w:type="continuationSeparator" w:id="0">
    <w:p w14:paraId="58F6B6ED" w14:textId="77777777" w:rsidR="00B21616" w:rsidRDefault="00B21616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6039AE"/>
    <w:multiLevelType w:val="hybridMultilevel"/>
    <w:tmpl w:val="1BA4BFCC"/>
    <w:lvl w:ilvl="0" w:tplc="993E861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769282682">
    <w:abstractNumId w:val="12"/>
  </w:num>
  <w:num w:numId="2" w16cid:durableId="54354100">
    <w:abstractNumId w:val="8"/>
  </w:num>
  <w:num w:numId="3" w16cid:durableId="1697846334">
    <w:abstractNumId w:val="17"/>
  </w:num>
  <w:num w:numId="4" w16cid:durableId="1424764192">
    <w:abstractNumId w:val="13"/>
  </w:num>
  <w:num w:numId="5" w16cid:durableId="1351761899">
    <w:abstractNumId w:val="14"/>
  </w:num>
  <w:num w:numId="6" w16cid:durableId="365833410">
    <w:abstractNumId w:val="21"/>
  </w:num>
  <w:num w:numId="7" w16cid:durableId="1135172761">
    <w:abstractNumId w:val="7"/>
  </w:num>
  <w:num w:numId="8" w16cid:durableId="551380521">
    <w:abstractNumId w:val="11"/>
  </w:num>
  <w:num w:numId="9" w16cid:durableId="1191142676">
    <w:abstractNumId w:val="19"/>
  </w:num>
  <w:num w:numId="10" w16cid:durableId="1648045013">
    <w:abstractNumId w:val="2"/>
  </w:num>
  <w:num w:numId="11" w16cid:durableId="1703898323">
    <w:abstractNumId w:val="6"/>
  </w:num>
  <w:num w:numId="12" w16cid:durableId="1991517069">
    <w:abstractNumId w:val="1"/>
  </w:num>
  <w:num w:numId="13" w16cid:durableId="1364401846">
    <w:abstractNumId w:val="3"/>
  </w:num>
  <w:num w:numId="14" w16cid:durableId="1775661594">
    <w:abstractNumId w:val="10"/>
  </w:num>
  <w:num w:numId="15" w16cid:durableId="1880126263">
    <w:abstractNumId w:val="9"/>
  </w:num>
  <w:num w:numId="16" w16cid:durableId="2060352913">
    <w:abstractNumId w:val="18"/>
  </w:num>
  <w:num w:numId="17" w16cid:durableId="1473596990">
    <w:abstractNumId w:val="4"/>
  </w:num>
  <w:num w:numId="18" w16cid:durableId="21565075">
    <w:abstractNumId w:val="23"/>
  </w:num>
  <w:num w:numId="19" w16cid:durableId="1877499429">
    <w:abstractNumId w:val="20"/>
  </w:num>
  <w:num w:numId="20" w16cid:durableId="432097401">
    <w:abstractNumId w:val="15"/>
  </w:num>
  <w:num w:numId="21" w16cid:durableId="1850371897">
    <w:abstractNumId w:val="22"/>
  </w:num>
  <w:num w:numId="22" w16cid:durableId="2033606878">
    <w:abstractNumId w:val="5"/>
  </w:num>
  <w:num w:numId="23" w16cid:durableId="891114059">
    <w:abstractNumId w:val="0"/>
  </w:num>
  <w:num w:numId="24" w16cid:durableId="619652047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1EA"/>
    <w:rsid w:val="00003212"/>
    <w:rsid w:val="00006293"/>
    <w:rsid w:val="00010104"/>
    <w:rsid w:val="0004724B"/>
    <w:rsid w:val="00052382"/>
    <w:rsid w:val="0006568A"/>
    <w:rsid w:val="00065A07"/>
    <w:rsid w:val="00076F0F"/>
    <w:rsid w:val="00084253"/>
    <w:rsid w:val="000925A2"/>
    <w:rsid w:val="000A7AD3"/>
    <w:rsid w:val="000D0A38"/>
    <w:rsid w:val="000D1F49"/>
    <w:rsid w:val="000D68B9"/>
    <w:rsid w:val="00110BAB"/>
    <w:rsid w:val="00131511"/>
    <w:rsid w:val="00145680"/>
    <w:rsid w:val="00160563"/>
    <w:rsid w:val="00161CFB"/>
    <w:rsid w:val="001727CA"/>
    <w:rsid w:val="00173E9B"/>
    <w:rsid w:val="00181A74"/>
    <w:rsid w:val="001868E4"/>
    <w:rsid w:val="001B0243"/>
    <w:rsid w:val="001F5CF8"/>
    <w:rsid w:val="00221BF9"/>
    <w:rsid w:val="00261DEB"/>
    <w:rsid w:val="00282AAC"/>
    <w:rsid w:val="002B7717"/>
    <w:rsid w:val="002C1B31"/>
    <w:rsid w:val="002C56E6"/>
    <w:rsid w:val="002D3238"/>
    <w:rsid w:val="002F2CF9"/>
    <w:rsid w:val="003173EE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E27C2"/>
    <w:rsid w:val="003F0847"/>
    <w:rsid w:val="003F12AC"/>
    <w:rsid w:val="0040090B"/>
    <w:rsid w:val="004174E3"/>
    <w:rsid w:val="00421017"/>
    <w:rsid w:val="0046302A"/>
    <w:rsid w:val="00467CEF"/>
    <w:rsid w:val="00482A84"/>
    <w:rsid w:val="00487D2D"/>
    <w:rsid w:val="004B2636"/>
    <w:rsid w:val="004D5D62"/>
    <w:rsid w:val="004E3FA9"/>
    <w:rsid w:val="004E5717"/>
    <w:rsid w:val="004F76A2"/>
    <w:rsid w:val="005112D0"/>
    <w:rsid w:val="00516481"/>
    <w:rsid w:val="00522B79"/>
    <w:rsid w:val="00535A46"/>
    <w:rsid w:val="00537F5D"/>
    <w:rsid w:val="00545B00"/>
    <w:rsid w:val="0055150E"/>
    <w:rsid w:val="00567A98"/>
    <w:rsid w:val="00576892"/>
    <w:rsid w:val="00577E06"/>
    <w:rsid w:val="00595291"/>
    <w:rsid w:val="005A3BF7"/>
    <w:rsid w:val="005E19AD"/>
    <w:rsid w:val="005F2035"/>
    <w:rsid w:val="005F7990"/>
    <w:rsid w:val="006067CE"/>
    <w:rsid w:val="006308C6"/>
    <w:rsid w:val="0063739C"/>
    <w:rsid w:val="00662D91"/>
    <w:rsid w:val="006722A9"/>
    <w:rsid w:val="00684F98"/>
    <w:rsid w:val="006905C2"/>
    <w:rsid w:val="006949AA"/>
    <w:rsid w:val="006C0E1F"/>
    <w:rsid w:val="007003B9"/>
    <w:rsid w:val="0071589D"/>
    <w:rsid w:val="00741975"/>
    <w:rsid w:val="00770F25"/>
    <w:rsid w:val="00774C74"/>
    <w:rsid w:val="00776FC4"/>
    <w:rsid w:val="007A35A8"/>
    <w:rsid w:val="007B0414"/>
    <w:rsid w:val="007B0A85"/>
    <w:rsid w:val="007C6A52"/>
    <w:rsid w:val="007E4956"/>
    <w:rsid w:val="007E6899"/>
    <w:rsid w:val="00813BD4"/>
    <w:rsid w:val="0082043E"/>
    <w:rsid w:val="00822583"/>
    <w:rsid w:val="008250EA"/>
    <w:rsid w:val="00827B5E"/>
    <w:rsid w:val="00835CBC"/>
    <w:rsid w:val="0084247A"/>
    <w:rsid w:val="00852B20"/>
    <w:rsid w:val="00863CB7"/>
    <w:rsid w:val="0088197A"/>
    <w:rsid w:val="00887812"/>
    <w:rsid w:val="00895D29"/>
    <w:rsid w:val="00897670"/>
    <w:rsid w:val="008B0E32"/>
    <w:rsid w:val="008C1712"/>
    <w:rsid w:val="008C634A"/>
    <w:rsid w:val="008D46CF"/>
    <w:rsid w:val="008E203A"/>
    <w:rsid w:val="0091229C"/>
    <w:rsid w:val="009157BC"/>
    <w:rsid w:val="009177EE"/>
    <w:rsid w:val="00920221"/>
    <w:rsid w:val="00931093"/>
    <w:rsid w:val="00937C95"/>
    <w:rsid w:val="00940E73"/>
    <w:rsid w:val="00975C3F"/>
    <w:rsid w:val="0098597D"/>
    <w:rsid w:val="00992265"/>
    <w:rsid w:val="009F619A"/>
    <w:rsid w:val="009F6DDE"/>
    <w:rsid w:val="009F77CA"/>
    <w:rsid w:val="00A1613A"/>
    <w:rsid w:val="00A31F11"/>
    <w:rsid w:val="00A33329"/>
    <w:rsid w:val="00A370A8"/>
    <w:rsid w:val="00A82A33"/>
    <w:rsid w:val="00AB35CA"/>
    <w:rsid w:val="00AC1DB3"/>
    <w:rsid w:val="00AC6B43"/>
    <w:rsid w:val="00AF6BFE"/>
    <w:rsid w:val="00B21616"/>
    <w:rsid w:val="00B524E8"/>
    <w:rsid w:val="00B6750D"/>
    <w:rsid w:val="00BB5C37"/>
    <w:rsid w:val="00BC6682"/>
    <w:rsid w:val="00BD3A7F"/>
    <w:rsid w:val="00BD4753"/>
    <w:rsid w:val="00BD5CB1"/>
    <w:rsid w:val="00BE62EE"/>
    <w:rsid w:val="00C003BA"/>
    <w:rsid w:val="00C14C2E"/>
    <w:rsid w:val="00C16F1D"/>
    <w:rsid w:val="00C26236"/>
    <w:rsid w:val="00C333A6"/>
    <w:rsid w:val="00C46878"/>
    <w:rsid w:val="00C629AC"/>
    <w:rsid w:val="00C77F78"/>
    <w:rsid w:val="00C9238F"/>
    <w:rsid w:val="00C96307"/>
    <w:rsid w:val="00CA6D58"/>
    <w:rsid w:val="00CB3B78"/>
    <w:rsid w:val="00CB4A51"/>
    <w:rsid w:val="00CC7405"/>
    <w:rsid w:val="00CD4532"/>
    <w:rsid w:val="00CD47B0"/>
    <w:rsid w:val="00CE0E6D"/>
    <w:rsid w:val="00CE1F0B"/>
    <w:rsid w:val="00CE6104"/>
    <w:rsid w:val="00CE7918"/>
    <w:rsid w:val="00D03AC6"/>
    <w:rsid w:val="00D05045"/>
    <w:rsid w:val="00D16163"/>
    <w:rsid w:val="00D31245"/>
    <w:rsid w:val="00D31E76"/>
    <w:rsid w:val="00D37598"/>
    <w:rsid w:val="00D473EA"/>
    <w:rsid w:val="00D75880"/>
    <w:rsid w:val="00D87EAD"/>
    <w:rsid w:val="00DA1571"/>
    <w:rsid w:val="00DB020F"/>
    <w:rsid w:val="00DB3FAD"/>
    <w:rsid w:val="00DD6367"/>
    <w:rsid w:val="00DF3CF7"/>
    <w:rsid w:val="00E00E10"/>
    <w:rsid w:val="00E4784E"/>
    <w:rsid w:val="00E61C09"/>
    <w:rsid w:val="00E92833"/>
    <w:rsid w:val="00EA19AC"/>
    <w:rsid w:val="00EB3B58"/>
    <w:rsid w:val="00EB4037"/>
    <w:rsid w:val="00EC7359"/>
    <w:rsid w:val="00ED0E1A"/>
    <w:rsid w:val="00EE3054"/>
    <w:rsid w:val="00F00606"/>
    <w:rsid w:val="00F01256"/>
    <w:rsid w:val="00F6558E"/>
    <w:rsid w:val="00F955CD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C876392"/>
  <w15:docId w15:val="{03BB9030-8337-401B-881F-234E12624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482A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ciencedirect.com/science/article/pii/S2666202725002435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doi.org/10.1016/j.ijft.2025.101296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ciencedirect.com/science/article/pii/S2666202725002435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B30A1848-6861-47BB-B2D2-44C29CC9970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1</TotalTime>
  <Pages>2</Pages>
  <Words>334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Md. Majibul Hassan Imran</dc:creator>
  <cp:lastModifiedBy>Md. Majibul Hassan Imran</cp:lastModifiedBy>
  <cp:revision>2</cp:revision>
  <dcterms:created xsi:type="dcterms:W3CDTF">2025-07-08T03:15:00Z</dcterms:created>
  <dcterms:modified xsi:type="dcterms:W3CDTF">2025-07-08T03:15:00Z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