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90"/>
        <w:gridCol w:w="3054"/>
        <w:gridCol w:w="1528"/>
        <w:gridCol w:w="2878"/>
      </w:tblGrid>
      <w:tr w:rsidR="00C9238F" w:rsidRPr="005E19AD" w14:paraId="104F9DBE" w14:textId="77777777" w:rsidTr="00E607E8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vAlign w:val="bottom"/>
          </w:tcPr>
          <w:p w14:paraId="76A41892" w14:textId="0E104D13" w:rsidR="00C9238F" w:rsidRPr="00C333A6" w:rsidRDefault="001D13E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D13EC">
              <w:rPr>
                <w:rFonts w:ascii="Times New Roman" w:hAnsi="Times New Roman" w:cs="Times New Roman"/>
              </w:rPr>
              <w:t>Performance Enhancement of Wireless Power Transfer Systems Through Coil Configuration and Class-E Power Amplifier Integration</w:t>
            </w:r>
          </w:p>
        </w:tc>
      </w:tr>
      <w:tr w:rsidR="00C9238F" w:rsidRPr="005E19AD" w14:paraId="41B6DFDE" w14:textId="77777777" w:rsidTr="00E607E8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vAlign w:val="bottom"/>
          </w:tcPr>
          <w:p w14:paraId="4C3C55DD" w14:textId="725CD424" w:rsidR="00C9238F" w:rsidRPr="005E19AD" w:rsidRDefault="001D13EC" w:rsidP="001D13EC">
            <w:pPr>
              <w:spacing w:before="240"/>
              <w:rPr>
                <w:rFonts w:ascii="Times New Roman" w:hAnsi="Times New Roman" w:cs="Times New Roman"/>
              </w:rPr>
            </w:pPr>
            <w:r w:rsidRPr="001D13EC">
              <w:rPr>
                <w:rFonts w:ascii="Times New Roman" w:hAnsi="Times New Roman" w:cs="Times New Roman"/>
              </w:rPr>
              <w:t>Tanbir Ibne Anowar, Kayes Hasan, Shameem Ahmad, Tamim Hossain &amp;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D13EC">
              <w:rPr>
                <w:rFonts w:ascii="Times New Roman" w:hAnsi="Times New Roman" w:cs="Times New Roman"/>
              </w:rPr>
              <w:t>Narendra Kumar Aridas</w:t>
            </w:r>
          </w:p>
        </w:tc>
      </w:tr>
      <w:tr w:rsidR="00C9238F" w:rsidRPr="005E19AD" w14:paraId="1694AB7A" w14:textId="77777777" w:rsidTr="00E607E8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vAlign w:val="bottom"/>
          </w:tcPr>
          <w:p w14:paraId="5052E128" w14:textId="61D104AD" w:rsidR="00C9238F" w:rsidRPr="005E19AD" w:rsidRDefault="009B122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dr.tanbir@aiub.edu</w:t>
            </w:r>
          </w:p>
        </w:tc>
      </w:tr>
      <w:tr w:rsidR="00C9238F" w:rsidRPr="005E19AD" w14:paraId="3A03CA46" w14:textId="77777777" w:rsidTr="00E607E8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vAlign w:val="bottom"/>
          </w:tcPr>
          <w:p w14:paraId="22C9FD36" w14:textId="6C18C62D" w:rsidR="00C9238F" w:rsidRPr="005E19AD" w:rsidRDefault="001D13E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D13EC">
              <w:rPr>
                <w:rFonts w:ascii="Times New Roman" w:hAnsi="Times New Roman" w:cs="Times New Roman"/>
              </w:rPr>
              <w:t>IETE Journal of Research</w:t>
            </w:r>
          </w:p>
        </w:tc>
      </w:tr>
      <w:tr w:rsidR="00010104" w:rsidRPr="005E19AD" w14:paraId="29260EEE" w14:textId="77777777" w:rsidTr="00E607E8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E607E8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vAlign w:val="bottom"/>
          </w:tcPr>
          <w:p w14:paraId="76051B5A" w14:textId="01BBE986" w:rsidR="00576892" w:rsidRPr="005E19AD" w:rsidRDefault="001D13E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vAlign w:val="bottom"/>
          </w:tcPr>
          <w:p w14:paraId="73C90383" w14:textId="63889456" w:rsidR="00576892" w:rsidRPr="005E19AD" w:rsidRDefault="001D13E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(February</w:t>
            </w:r>
            <w:r w:rsidR="009B122C">
              <w:rPr>
                <w:rFonts w:ascii="Times New Roman" w:hAnsi="Times New Roman" w:cs="Times New Roman"/>
              </w:rPr>
              <w:t xml:space="preserve"> 2026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1D13EC" w:rsidRPr="005E19AD" w14:paraId="29A11658" w14:textId="77777777" w:rsidTr="00665DED">
        <w:tc>
          <w:tcPr>
            <w:tcW w:w="1011" w:type="pct"/>
            <w:vAlign w:val="center"/>
          </w:tcPr>
          <w:p w14:paraId="6B703DB8" w14:textId="02D4323D" w:rsidR="001D13EC" w:rsidRPr="000B26A5" w:rsidRDefault="001D13EC" w:rsidP="001D13EC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3989" w:type="pct"/>
            <w:gridSpan w:val="3"/>
            <w:vAlign w:val="center"/>
          </w:tcPr>
          <w:p w14:paraId="7C35739C" w14:textId="20224371" w:rsidR="001D13EC" w:rsidRPr="005E19AD" w:rsidRDefault="001D13EC" w:rsidP="001D13EC">
            <w:pPr>
              <w:spacing w:before="240"/>
              <w:rPr>
                <w:rFonts w:ascii="Times New Roman" w:hAnsi="Times New Roman" w:cs="Times New Roman"/>
              </w:rPr>
            </w:pPr>
            <w:r w:rsidRPr="001D13EC">
              <w:rPr>
                <w:rFonts w:ascii="Times New Roman" w:hAnsi="Times New Roman" w:cs="Times New Roman"/>
              </w:rPr>
              <w:t>Taylor &amp; Francis</w:t>
            </w:r>
          </w:p>
        </w:tc>
      </w:tr>
      <w:tr w:rsidR="001D13EC" w:rsidRPr="005E19AD" w14:paraId="0977BFEF" w14:textId="77777777" w:rsidTr="00E607E8">
        <w:tc>
          <w:tcPr>
            <w:tcW w:w="1011" w:type="pct"/>
            <w:vAlign w:val="center"/>
          </w:tcPr>
          <w:p w14:paraId="4291962E" w14:textId="21980995" w:rsidR="001D13EC" w:rsidRPr="000B26A5" w:rsidRDefault="001D13EC" w:rsidP="001D13EC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3989" w:type="pct"/>
            <w:gridSpan w:val="3"/>
            <w:vAlign w:val="bottom"/>
          </w:tcPr>
          <w:p w14:paraId="663B3BF3" w14:textId="69BA86FE" w:rsidR="001D13EC" w:rsidRPr="005E19AD" w:rsidRDefault="001D13EC" w:rsidP="001D13EC">
            <w:pPr>
              <w:spacing w:before="240"/>
              <w:rPr>
                <w:rFonts w:ascii="Times New Roman" w:hAnsi="Times New Roman" w:cs="Times New Roman"/>
              </w:rPr>
            </w:pPr>
            <w:r w:rsidRPr="009B122C">
              <w:rPr>
                <w:rFonts w:ascii="Times New Roman" w:hAnsi="Times New Roman" w:cs="Times New Roman"/>
              </w:rPr>
              <w:t xml:space="preserve">Available online </w:t>
            </w:r>
            <w:r>
              <w:rPr>
                <w:rFonts w:ascii="Times New Roman" w:hAnsi="Times New Roman" w:cs="Times New Roman"/>
              </w:rPr>
              <w:t>11</w:t>
            </w:r>
            <w:r w:rsidRPr="001D13EC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February</w:t>
            </w:r>
            <w:r w:rsidRPr="009B122C">
              <w:rPr>
                <w:rFonts w:ascii="Times New Roman" w:hAnsi="Times New Roman" w:cs="Times New Roman"/>
              </w:rPr>
              <w:t xml:space="preserve"> 202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1D13EC" w:rsidRPr="005E19AD" w14:paraId="04C32390" w14:textId="77777777" w:rsidTr="00E607E8">
        <w:tc>
          <w:tcPr>
            <w:tcW w:w="1011" w:type="pct"/>
            <w:vAlign w:val="center"/>
          </w:tcPr>
          <w:p w14:paraId="13D6FAC3" w14:textId="60B44E2E" w:rsidR="001D13EC" w:rsidRPr="000B26A5" w:rsidRDefault="001D13EC" w:rsidP="001D13EC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3989" w:type="pct"/>
            <w:gridSpan w:val="3"/>
            <w:vAlign w:val="bottom"/>
          </w:tcPr>
          <w:p w14:paraId="52048464" w14:textId="77777777" w:rsidR="001D13EC" w:rsidRDefault="001D13EC" w:rsidP="001D13EC">
            <w:pPr>
              <w:spacing w:before="240"/>
              <w:rPr>
                <w:rFonts w:ascii="Times New Roman" w:hAnsi="Times New Roman" w:cs="Times New Roman"/>
              </w:rPr>
            </w:pPr>
            <w:r w:rsidRPr="001D13EC">
              <w:rPr>
                <w:rFonts w:ascii="Times New Roman" w:hAnsi="Times New Roman" w:cs="Times New Roman"/>
              </w:rPr>
              <w:t xml:space="preserve">ISSN: 0377-2063 (Print) 0974-780X (Online) </w:t>
            </w:r>
          </w:p>
          <w:p w14:paraId="395ECBF4" w14:textId="1B100E62" w:rsidR="001D13EC" w:rsidRPr="005E19AD" w:rsidRDefault="001D13EC" w:rsidP="001D13EC">
            <w:pPr>
              <w:spacing w:before="240"/>
              <w:rPr>
                <w:rFonts w:ascii="Times New Roman" w:hAnsi="Times New Roman" w:cs="Times New Roman"/>
              </w:rPr>
            </w:pPr>
            <w:r w:rsidRPr="001D13EC">
              <w:rPr>
                <w:rFonts w:ascii="Times New Roman" w:hAnsi="Times New Roman" w:cs="Times New Roman"/>
              </w:rPr>
              <w:t>Journal homepage: www.tandfonline.com/journals/tijr20</w:t>
            </w:r>
          </w:p>
        </w:tc>
      </w:tr>
      <w:tr w:rsidR="001D13EC" w:rsidRPr="005E19AD" w14:paraId="6125C715" w14:textId="77777777" w:rsidTr="00E607E8">
        <w:tc>
          <w:tcPr>
            <w:tcW w:w="1011" w:type="pct"/>
            <w:vAlign w:val="center"/>
          </w:tcPr>
          <w:p w14:paraId="41B57CC6" w14:textId="00281C46" w:rsidR="001D13EC" w:rsidRPr="000B26A5" w:rsidRDefault="001D13EC" w:rsidP="001D13EC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vAlign w:val="bottom"/>
          </w:tcPr>
          <w:p w14:paraId="6A80901E" w14:textId="016D7BA0" w:rsidR="001D13EC" w:rsidRPr="00E607E8" w:rsidRDefault="001D13EC" w:rsidP="001D13EC">
            <w:pPr>
              <w:spacing w:before="240"/>
              <w:rPr>
                <w:rStyle w:val="Hyperlink"/>
              </w:rPr>
            </w:pPr>
            <w:r w:rsidRPr="001D13EC">
              <w:rPr>
                <w:rFonts w:ascii="Times New Roman" w:hAnsi="Times New Roman" w:cs="Times New Roman"/>
                <w:color w:val="BF678E" w:themeColor="hyperlink"/>
                <w:u w:val="single"/>
              </w:rPr>
              <w:t>10.1080/03772063.2026.2625874</w:t>
            </w:r>
          </w:p>
        </w:tc>
      </w:tr>
      <w:tr w:rsidR="001D13EC" w:rsidRPr="005E19AD" w14:paraId="16A1DAEC" w14:textId="77777777" w:rsidTr="00044BF1">
        <w:tc>
          <w:tcPr>
            <w:tcW w:w="1011" w:type="pct"/>
            <w:vAlign w:val="center"/>
          </w:tcPr>
          <w:p w14:paraId="58F94C75" w14:textId="1DD14994" w:rsidR="001D13EC" w:rsidRPr="000B26A5" w:rsidRDefault="001D13EC" w:rsidP="001D13EC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vAlign w:val="center"/>
          </w:tcPr>
          <w:p w14:paraId="6EF70C5A" w14:textId="52D3DDA9" w:rsidR="001D13EC" w:rsidRPr="005E19AD" w:rsidRDefault="001D13EC" w:rsidP="001D13EC">
            <w:pPr>
              <w:spacing w:before="240"/>
              <w:rPr>
                <w:rFonts w:ascii="Times New Roman" w:hAnsi="Times New Roman" w:cs="Times New Roman"/>
              </w:rPr>
            </w:pPr>
            <w:hyperlink r:id="rId11" w:anchor="0Y0000035Iji/a/aA000004L9CT/eXGeqGMjZD0GZICzOvH3DhVncCoc2n5Q3nRrgykXWcs" w:history="1">
              <w:r w:rsidRPr="00B62424">
                <w:rPr>
                  <w:rStyle w:val="Hyperlink"/>
                </w:rPr>
                <w:t>Salesforce</w:t>
              </w:r>
            </w:hyperlink>
          </w:p>
        </w:tc>
      </w:tr>
      <w:tr w:rsidR="001D13EC" w:rsidRPr="005E19AD" w14:paraId="204EC2C6" w14:textId="77777777" w:rsidTr="00E607E8">
        <w:tc>
          <w:tcPr>
            <w:tcW w:w="1011" w:type="pct"/>
            <w:vAlign w:val="center"/>
          </w:tcPr>
          <w:p w14:paraId="07EC2428" w14:textId="01006353" w:rsidR="001D13EC" w:rsidRPr="000B26A5" w:rsidRDefault="001D13EC" w:rsidP="001D13EC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vAlign w:val="bottom"/>
          </w:tcPr>
          <w:p w14:paraId="0933B90C" w14:textId="57D2E46D" w:rsidR="001D13EC" w:rsidRPr="005E19AD" w:rsidRDefault="001D13EC" w:rsidP="001D13EC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1D13EC" w:rsidRPr="005E19AD" w14:paraId="0B169241" w14:textId="77777777" w:rsidTr="00E607E8">
        <w:trPr>
          <w:trHeight w:val="54"/>
        </w:trPr>
        <w:tc>
          <w:tcPr>
            <w:tcW w:w="5000" w:type="pct"/>
            <w:gridSpan w:val="4"/>
            <w:vAlign w:val="bottom"/>
          </w:tcPr>
          <w:p w14:paraId="5A585DE2" w14:textId="77777777" w:rsidR="001D13EC" w:rsidRPr="005E19AD" w:rsidRDefault="001D13EC" w:rsidP="001D13EC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6DFA7D48" w:rsidR="00852B20" w:rsidRPr="005E19AD" w:rsidRDefault="001D13EC" w:rsidP="00F00FC1">
            <w:pPr>
              <w:spacing w:after="200" w:line="271" w:lineRule="auto"/>
              <w:jc w:val="both"/>
              <w:rPr>
                <w:rFonts w:ascii="Times New Roman" w:hAnsi="Times New Roman" w:cs="Times New Roman"/>
              </w:rPr>
            </w:pPr>
            <w:r w:rsidRPr="001D13EC">
              <w:t>Wireless Power Transfer (WPT) has emerged as a transformative technology for applications ranging</w:t>
            </w:r>
            <w:r>
              <w:t xml:space="preserve"> </w:t>
            </w:r>
            <w:r w:rsidRPr="001D13EC">
              <w:t>from consumer electronics to biomedical devices and</w:t>
            </w:r>
            <w:r>
              <w:t xml:space="preserve"> </w:t>
            </w:r>
            <w:r w:rsidRPr="001D13EC">
              <w:t>electric vehicles. However, achieving efficient</w:t>
            </w:r>
            <w:r>
              <w:t xml:space="preserve"> </w:t>
            </w:r>
            <w:r w:rsidRPr="001D13EC">
              <w:t>power transfer over mid-range distances remains a significant challenge due to coupling variations</w:t>
            </w:r>
            <w:r>
              <w:t xml:space="preserve"> </w:t>
            </w:r>
            <w:r w:rsidRPr="001D13EC">
              <w:t>and impedance mismatches. This study presents a comprehensive investigation into the integration</w:t>
            </w:r>
            <w:r>
              <w:t xml:space="preserve"> </w:t>
            </w:r>
            <w:r w:rsidRPr="001D13EC">
              <w:t>of a modified Class-E power amplifier (PA) with optimized multi-coil configurations to enhance</w:t>
            </w:r>
            <w:r>
              <w:t xml:space="preserve"> </w:t>
            </w:r>
            <w:r w:rsidRPr="001D13EC">
              <w:t>WPT efficiency. A comparative analysis between 3-coil and 4-coil resonant coupling systems focuses</w:t>
            </w:r>
            <w:r>
              <w:t xml:space="preserve"> </w:t>
            </w:r>
            <w:r w:rsidRPr="001D13EC">
              <w:t>on power transfer efficiency (PTE), impedance matching, and adaptive tuning mechanisms. The</w:t>
            </w:r>
            <w:r>
              <w:t xml:space="preserve"> </w:t>
            </w:r>
            <w:r w:rsidRPr="001D13EC">
              <w:t>proposed method leverages an optimized coupling strategy to mitigate power loss and ensure stable</w:t>
            </w:r>
            <w:r>
              <w:t xml:space="preserve"> </w:t>
            </w:r>
            <w:r w:rsidRPr="001D13EC">
              <w:t>transmission. Experimental results demonstrate that the</w:t>
            </w:r>
            <w:r w:rsidR="00F00FC1">
              <w:t xml:space="preserve"> </w:t>
            </w:r>
            <w:r w:rsidRPr="001D13EC">
              <w:t>integrated Class-E PA improves PTE</w:t>
            </w:r>
            <w:r>
              <w:t xml:space="preserve"> </w:t>
            </w:r>
            <w:r w:rsidRPr="001D13EC">
              <w:t>by over 20% at mid-range distances,</w:t>
            </w:r>
            <w:r w:rsidR="00F00FC1">
              <w:t xml:space="preserve"> </w:t>
            </w:r>
            <w:r w:rsidRPr="001D13EC">
              <w:t>achieving 80% efficiency within 5–30 cm while maintaining</w:t>
            </w:r>
            <w:r w:rsidR="00F00FC1">
              <w:t xml:space="preserve"> </w:t>
            </w:r>
            <w:r w:rsidRPr="001D13EC">
              <w:t>low insertion loss. Furthermore, the study highlights the advantages of 3-coil configurations for</w:t>
            </w:r>
            <w:r w:rsidR="00F00FC1">
              <w:t xml:space="preserve"> </w:t>
            </w:r>
            <w:r w:rsidRPr="001D13EC">
              <w:t>consumer electronics applications, offering simplified tuning and reduced</w:t>
            </w:r>
            <w:r w:rsidR="00F00FC1">
              <w:t xml:space="preserve"> </w:t>
            </w:r>
            <w:r w:rsidRPr="001D13EC">
              <w:t>system complexity compared</w:t>
            </w:r>
            <w:r w:rsidR="00F00FC1">
              <w:t xml:space="preserve"> </w:t>
            </w:r>
            <w:r w:rsidRPr="001D13EC">
              <w:t>to traditional 4-coil systems. The findings contribute to advancing high-efficiency</w:t>
            </w:r>
            <w:r w:rsidR="00F00FC1">
              <w:t xml:space="preserve"> </w:t>
            </w:r>
            <w:r w:rsidRPr="001D13EC">
              <w:t>WPT</w:t>
            </w:r>
            <w:r w:rsidR="00F00FC1">
              <w:t xml:space="preserve"> </w:t>
            </w:r>
            <w:r w:rsidRPr="001D13EC">
              <w:t>systems</w:t>
            </w:r>
            <w:r w:rsidR="00F00FC1">
              <w:t xml:space="preserve"> </w:t>
            </w:r>
            <w:r w:rsidRPr="001D13EC">
              <w:t>and their practical implementation in emerging wireless power applications. Unlike previous works</w:t>
            </w:r>
            <w:r w:rsidR="00F00FC1">
              <w:t xml:space="preserve"> </w:t>
            </w:r>
            <w:r w:rsidRPr="001D13EC">
              <w:t>that mainly relied on simulation, this study experimentally validates Class-E-driven 3- and 4-coil</w:t>
            </w:r>
            <w:r w:rsidR="00F00FC1">
              <w:t xml:space="preserve"> </w:t>
            </w:r>
            <w:r w:rsidRPr="001D13EC">
              <w:t>WPT systems, providing measured ZVS and switch-stress characteristics that demonstrate improved</w:t>
            </w:r>
            <w:r w:rsidR="00F00FC1">
              <w:t xml:space="preserve"> </w:t>
            </w:r>
            <w:r w:rsidRPr="001D13EC">
              <w:t>mid-range transfer efficiency.</w:t>
            </w:r>
            <w:r w:rsidR="00F00FC1" w:rsidRPr="005E19AD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F2928" w14:textId="77777777" w:rsidR="005C7AEE" w:rsidRDefault="005C7AEE" w:rsidP="00C9238F">
      <w:pPr>
        <w:spacing w:after="0" w:line="240" w:lineRule="auto"/>
      </w:pPr>
      <w:r>
        <w:separator/>
      </w:r>
    </w:p>
  </w:endnote>
  <w:endnote w:type="continuationSeparator" w:id="0">
    <w:p w14:paraId="195F647E" w14:textId="77777777" w:rsidR="005C7AEE" w:rsidRDefault="005C7AE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077BF9-BF00-4E41-8A40-BC7DE8210D44}"/>
    <w:embedBold r:id="rId2" w:fontKey="{9648E00C-F639-411F-8424-3FE026A04D47}"/>
    <w:embedItalic r:id="rId3" w:fontKey="{6A9B8E8D-1450-42F6-A573-35B257A2715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9540EE1-23BB-4031-AB19-203771FE2969}"/>
    <w:embedBold r:id="rId5" w:fontKey="{C70872F5-ACEE-43DF-A8C5-04D9CDA75803}"/>
    <w:embedItalic r:id="rId6" w:fontKey="{3777C565-F63F-4657-BF41-FBD4422EE7F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2A0D156-2FE9-4725-BA1F-F8DF32752B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3ADB8" w14:textId="77777777" w:rsidR="005C7AEE" w:rsidRDefault="005C7AEE" w:rsidP="00C9238F">
      <w:pPr>
        <w:spacing w:after="0" w:line="240" w:lineRule="auto"/>
      </w:pPr>
      <w:r>
        <w:separator/>
      </w:r>
    </w:p>
  </w:footnote>
  <w:footnote w:type="continuationSeparator" w:id="0">
    <w:p w14:paraId="433E8C36" w14:textId="77777777" w:rsidR="005C7AEE" w:rsidRDefault="005C7AE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45179"/>
    <w:rsid w:val="001727CA"/>
    <w:rsid w:val="00182BA0"/>
    <w:rsid w:val="001A6DB8"/>
    <w:rsid w:val="001D13EC"/>
    <w:rsid w:val="001F5CF8"/>
    <w:rsid w:val="0020377B"/>
    <w:rsid w:val="00295C4F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259DF"/>
    <w:rsid w:val="00576892"/>
    <w:rsid w:val="00577E06"/>
    <w:rsid w:val="005A3BF7"/>
    <w:rsid w:val="005C7AEE"/>
    <w:rsid w:val="005E19AD"/>
    <w:rsid w:val="005F2035"/>
    <w:rsid w:val="005F7990"/>
    <w:rsid w:val="00634C8F"/>
    <w:rsid w:val="0063739C"/>
    <w:rsid w:val="007177F7"/>
    <w:rsid w:val="00770F25"/>
    <w:rsid w:val="00774C74"/>
    <w:rsid w:val="007A35A8"/>
    <w:rsid w:val="007B0A85"/>
    <w:rsid w:val="007C6A52"/>
    <w:rsid w:val="007D1454"/>
    <w:rsid w:val="007E4956"/>
    <w:rsid w:val="007F6BEC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B122C"/>
    <w:rsid w:val="009F619A"/>
    <w:rsid w:val="009F6DDE"/>
    <w:rsid w:val="009F77CA"/>
    <w:rsid w:val="00A1613A"/>
    <w:rsid w:val="00A370A8"/>
    <w:rsid w:val="00A82A33"/>
    <w:rsid w:val="00AF6BFE"/>
    <w:rsid w:val="00B37232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0486"/>
    <w:rsid w:val="00D31E76"/>
    <w:rsid w:val="00DB3FAD"/>
    <w:rsid w:val="00DE2886"/>
    <w:rsid w:val="00E525FC"/>
    <w:rsid w:val="00E607E8"/>
    <w:rsid w:val="00E61C09"/>
    <w:rsid w:val="00EB3B58"/>
    <w:rsid w:val="00EC7359"/>
    <w:rsid w:val="00EE3054"/>
    <w:rsid w:val="00F00606"/>
    <w:rsid w:val="00F00FC1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aylorandfrancis.my.salesforce.com/sfc/p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346</Words>
  <Characters>2053</Characters>
  <Application>Microsoft Office Word</Application>
  <DocSecurity>0</DocSecurity>
  <Lines>68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2025-12-12T05:55:00Z</dcterms:created>
  <dcterms:modified xsi:type="dcterms:W3CDTF">2026-02-23T05:27:00Z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