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987EFD4" w:rsidR="00C9238F" w:rsidRPr="00C333A6" w:rsidRDefault="0000409C"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Magnetohydrodynamic bio</w:t>
              </w:r>
              <w:r>
                <w:rPr>
                  <w:rStyle w:val="Hyperlink"/>
                  <w:rFonts w:ascii="Cambria Math" w:hAnsi="Cambria Math" w:cs="Cambria Math"/>
                  <w:color w:val="1A0DAB"/>
                  <w:sz w:val="30"/>
                  <w:szCs w:val="30"/>
                  <w:shd w:val="clear" w:color="auto" w:fill="FFFFFF"/>
                </w:rPr>
                <w:t>‐</w:t>
              </w:r>
              <w:proofErr w:type="spellStart"/>
              <w:r>
                <w:rPr>
                  <w:rStyle w:val="Hyperlink"/>
                  <w:rFonts w:ascii="Arial" w:hAnsi="Arial" w:cs="Arial"/>
                  <w:color w:val="1A0DAB"/>
                  <w:sz w:val="30"/>
                  <w:szCs w:val="30"/>
                  <w:shd w:val="clear" w:color="auto" w:fill="FFFFFF"/>
                </w:rPr>
                <w:t>nanoconvective</w:t>
              </w:r>
              <w:proofErr w:type="spellEnd"/>
              <w:r>
                <w:rPr>
                  <w:rStyle w:val="Hyperlink"/>
                  <w:rFonts w:ascii="Arial" w:hAnsi="Arial" w:cs="Arial"/>
                  <w:color w:val="1A0DAB"/>
                  <w:sz w:val="30"/>
                  <w:szCs w:val="30"/>
                  <w:shd w:val="clear" w:color="auto" w:fill="FFFFFF"/>
                </w:rPr>
                <w:t xml:space="preserve"> Naiver slip flow of micropolar fluid in a stretchable horizontal channel</w:t>
              </w:r>
            </w:hyperlink>
            <w:hyperlink r:id="rId12" w:history="1"/>
            <w:r w:rsidR="00120FAB">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A812C00" w:rsidR="00C9238F" w:rsidRPr="005E19AD" w:rsidRDefault="0000409C"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Fatema T Zohra, Mohammed J Uddin, Ahamd IM Ismail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CFB6A91" w:rsidR="00C9238F" w:rsidRPr="005E19AD" w:rsidRDefault="0000409C" w:rsidP="00576892">
            <w:pPr>
              <w:spacing w:before="240"/>
              <w:rPr>
                <w:rFonts w:ascii="Times New Roman" w:hAnsi="Times New Roman" w:cs="Times New Roman"/>
              </w:rPr>
            </w:pPr>
            <w:r>
              <w:rPr>
                <w:rFonts w:ascii="Arial" w:hAnsi="Arial" w:cs="Arial"/>
                <w:color w:val="222222"/>
                <w:sz w:val="20"/>
                <w:szCs w:val="20"/>
                <w:shd w:val="clear" w:color="auto" w:fill="FFFFFF"/>
              </w:rPr>
              <w:t>Heat Transfer—Asian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03674F2" w:rsidR="00576892" w:rsidRPr="005E19AD" w:rsidRDefault="0000409C" w:rsidP="00576892">
            <w:pPr>
              <w:spacing w:before="240"/>
              <w:rPr>
                <w:rFonts w:ascii="Times New Roman" w:hAnsi="Times New Roman" w:cs="Times New Roman"/>
              </w:rPr>
            </w:pPr>
            <w:r>
              <w:rPr>
                <w:rFonts w:ascii="Arial" w:hAnsi="Arial" w:cs="Arial"/>
                <w:color w:val="222222"/>
                <w:sz w:val="20"/>
                <w:szCs w:val="20"/>
                <w:shd w:val="clear" w:color="auto" w:fill="FFFFFF"/>
              </w:rPr>
              <w:t>48</w:t>
            </w:r>
          </w:p>
        </w:tc>
        <w:tc>
          <w:tcPr>
            <w:tcW w:w="817" w:type="pct"/>
            <w:vAlign w:val="bottom"/>
          </w:tcPr>
          <w:p w14:paraId="3CF73C17" w14:textId="3302521C" w:rsidR="00576892" w:rsidRPr="005E19AD" w:rsidRDefault="00010104" w:rsidP="00576892">
            <w:pPr>
              <w:rPr>
                <w:rFonts w:ascii="Times New Roman" w:hAnsi="Times New Roman" w:cs="Times New Roman"/>
              </w:rPr>
            </w:pPr>
            <w:proofErr w:type="gramStart"/>
            <w:r w:rsidRPr="005E19AD">
              <w:rPr>
                <w:rFonts w:ascii="Times New Roman" w:hAnsi="Times New Roman" w:cs="Times New Roman"/>
              </w:rPr>
              <w:t>Issue</w:t>
            </w:r>
            <w:r w:rsidR="0000409C">
              <w:rPr>
                <w:rFonts w:ascii="Times New Roman" w:hAnsi="Times New Roman" w:cs="Times New Roman"/>
              </w:rPr>
              <w:t xml:space="preserve">  </w:t>
            </w:r>
            <w:r w:rsidR="0000409C">
              <w:rPr>
                <w:rFonts w:ascii="Arial" w:hAnsi="Arial" w:cs="Arial"/>
                <w:color w:val="222222"/>
                <w:sz w:val="20"/>
                <w:szCs w:val="20"/>
                <w:shd w:val="clear" w:color="auto" w:fill="FFFFFF"/>
              </w:rPr>
              <w:t>8</w:t>
            </w:r>
            <w:proofErr w:type="gramEnd"/>
          </w:p>
        </w:tc>
        <w:tc>
          <w:tcPr>
            <w:tcW w:w="1539" w:type="pct"/>
            <w:tcBorders>
              <w:bottom w:val="single" w:sz="4" w:space="0" w:color="auto"/>
            </w:tcBorders>
            <w:vAlign w:val="bottom"/>
          </w:tcPr>
          <w:p w14:paraId="73C90383" w14:textId="6DE8A7CA"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28FC96BB" w14:textId="1BFE6190" w:rsidR="0000409C" w:rsidRPr="0000409C" w:rsidRDefault="0000409C" w:rsidP="0000409C">
            <w:pPr>
              <w:shd w:val="clear" w:color="auto" w:fill="FFFFFF"/>
              <w:rPr>
                <w:rFonts w:ascii="Open Sans" w:eastAsia="Times New Roman" w:hAnsi="Open Sans" w:cs="Open Sans"/>
                <w:color w:val="1C1D1E"/>
                <w:sz w:val="21"/>
                <w:szCs w:val="21"/>
              </w:rPr>
            </w:pPr>
            <w:r w:rsidRPr="0000409C">
              <w:rPr>
                <w:rFonts w:ascii="Open Sans" w:eastAsia="Times New Roman" w:hAnsi="Open Sans" w:cs="Open Sans"/>
                <w:noProof/>
                <w:color w:val="005274"/>
                <w:sz w:val="21"/>
                <w:szCs w:val="21"/>
              </w:rPr>
              <mc:AlternateContent>
                <mc:Choice Requires="wps">
                  <w:drawing>
                    <wp:inline distT="0" distB="0" distL="0" distR="0" wp14:anchorId="38A4E547" wp14:editId="2599E54C">
                      <wp:extent cx="304800" cy="304800"/>
                      <wp:effectExtent l="0" t="0" r="0" b="0"/>
                      <wp:docPr id="4" name="Rectangle 4" descr="Wiley Online Library">
                        <a:hlinkClick xmlns:a="http://schemas.openxmlformats.org/drawingml/2006/main" r:id="rId14" tooltip="&quot;Wiley Online Libra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B288E" id="Rectangle 4" o:spid="_x0000_s1026" alt="Wiley Online Library" href="https://onlinelibrary.wiley.com/" title="&quot;Wiley Online Libra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C35739C" w14:textId="240A60D1" w:rsidR="00852B20" w:rsidRPr="005E19AD" w:rsidRDefault="0000409C" w:rsidP="003642E3">
            <w:pPr>
              <w:spacing w:before="240"/>
              <w:rPr>
                <w:rFonts w:ascii="Times New Roman" w:hAnsi="Times New Roman" w:cs="Times New Roman"/>
              </w:rPr>
            </w:pPr>
            <w:r>
              <w:rPr>
                <w:rFonts w:ascii="Times New Roman" w:hAnsi="Times New Roman" w:cs="Times New Roman"/>
              </w:rPr>
              <w:t>WILEY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24684DF"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2019/12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FD927E2"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1099-2871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4ACA06A4" w:rsidR="00852B20" w:rsidRPr="00C333A6" w:rsidRDefault="00AE3ADC" w:rsidP="00120FAB">
            <w:pPr>
              <w:numPr>
                <w:ilvl w:val="0"/>
                <w:numId w:val="25"/>
              </w:numPr>
              <w:spacing w:beforeAutospacing="1" w:afterAutospacing="1"/>
              <w:ind w:left="0"/>
              <w:rPr>
                <w:rFonts w:ascii="Times New Roman" w:hAnsi="Times New Roman" w:cs="Times New Roman"/>
              </w:rPr>
            </w:pPr>
            <w:r w:rsidRPr="00AE3ADC">
              <w:rPr>
                <w:rFonts w:ascii="Times New Roman" w:hAnsi="Times New Roman" w:cs="Times New Roman"/>
              </w:rPr>
              <w:t>https://onlinelibrary.wiley.com/doi/abs/10.1002/htj.21560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36A8BD9" w:rsidR="00852B20" w:rsidRPr="005E19AD" w:rsidRDefault="00AE3ADC" w:rsidP="00120FAB">
            <w:pPr>
              <w:jc w:val="both"/>
              <w:rPr>
                <w:rFonts w:ascii="Times New Roman" w:hAnsi="Times New Roman" w:cs="Times New Roman"/>
              </w:rPr>
            </w:pPr>
            <w:r>
              <w:rPr>
                <w:rFonts w:ascii="Open Sans" w:hAnsi="Open Sans" w:cs="Open Sans"/>
                <w:color w:val="1C1D1E"/>
                <w:shd w:val="clear" w:color="auto" w:fill="FFFFFF"/>
              </w:rPr>
              <w:t xml:space="preserve">The purpose of this paper is to formulate and analyze a nano-bio transport model for magnetohydrodynamic convective flow, heat, and mass diffusion of micropolar fluid containing gyrotactic microorganisms through a horizontal channel. Both the walls </w:t>
            </w:r>
            <w:proofErr w:type="gramStart"/>
            <w:r>
              <w:rPr>
                <w:rFonts w:ascii="Open Sans" w:hAnsi="Open Sans" w:cs="Open Sans"/>
                <w:color w:val="1C1D1E"/>
                <w:shd w:val="clear" w:color="auto" w:fill="FFFFFF"/>
              </w:rPr>
              <w:t>are considered to be</w:t>
            </w:r>
            <w:proofErr w:type="gramEnd"/>
            <w:r>
              <w:rPr>
                <w:rFonts w:ascii="Open Sans" w:hAnsi="Open Sans" w:cs="Open Sans"/>
                <w:color w:val="1C1D1E"/>
                <w:shd w:val="clear" w:color="auto" w:fill="FFFFFF"/>
              </w:rPr>
              <w:t xml:space="preserve"> stretched, and the Navier slip boundary condition is taken into account. The governing bio-nano transport partial differential equations are rendered to ordinary differential equations using similarity variables. The resulting normalized self-similar boundary value problem is solved computationally with the </w:t>
            </w:r>
            <w:proofErr w:type="spellStart"/>
            <w:r>
              <w:rPr>
                <w:rFonts w:ascii="Open Sans" w:hAnsi="Open Sans" w:cs="Open Sans"/>
                <w:color w:val="1C1D1E"/>
                <w:shd w:val="clear" w:color="auto" w:fill="FFFFFF"/>
              </w:rPr>
              <w:t>Matlab</w:t>
            </w:r>
            <w:proofErr w:type="spellEnd"/>
            <w:r>
              <w:rPr>
                <w:rFonts w:ascii="Open Sans" w:hAnsi="Open Sans" w:cs="Open Sans"/>
                <w:color w:val="1C1D1E"/>
                <w:shd w:val="clear" w:color="auto" w:fill="FFFFFF"/>
              </w:rPr>
              <w:t xml:space="preserve"> bvp4c function. The effect of the controlling parameters on the nondimensional velocity, temperature, nanoparticle concentration, and motile microorganism density functions, and their gradients at the wall are visualized graphically and in a tabular form and expounded at length. Validation with a previous simpler model is included. All physical quantities, except the local Nusselt number, increases with an increase in the velocity slip and magnetic parameters. The present problem finds applications in industries related to pharmaceutical, nanofluidic devices, microbial enhanced oil recovery, modeling oil, and gas-bearing sedimentary basins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75C8" w14:textId="77777777" w:rsidR="00977000" w:rsidRDefault="00977000" w:rsidP="00C9238F">
      <w:pPr>
        <w:spacing w:after="0" w:line="240" w:lineRule="auto"/>
      </w:pPr>
      <w:r>
        <w:separator/>
      </w:r>
    </w:p>
  </w:endnote>
  <w:endnote w:type="continuationSeparator" w:id="0">
    <w:p w14:paraId="3C29A79B" w14:textId="77777777" w:rsidR="00977000" w:rsidRDefault="009770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CD2F40-1C17-4C81-B51F-ED25D4EC2BBD}"/>
    <w:embedBold r:id="rId2" w:fontKey="{D843066F-A849-42B5-9A50-B3443E53558A}"/>
    <w:embedItalic r:id="rId3" w:fontKey="{B2F76739-56BE-4FD0-92E7-99D6CE1495AB}"/>
    <w:embedBoldItalic r:id="rId4" w:fontKey="{E54F8A64-7F6A-442D-A0C8-E12CF86E5FC4}"/>
  </w:font>
  <w:font w:name="Corbel">
    <w:panose1 w:val="020B0503020204020204"/>
    <w:charset w:val="00"/>
    <w:family w:val="swiss"/>
    <w:pitch w:val="variable"/>
    <w:sig w:usb0="A00002EF" w:usb1="4000A44B" w:usb2="00000000" w:usb3="00000000" w:csb0="0000019F" w:csb1="00000000"/>
    <w:embedRegular r:id="rId5" w:fontKey="{5C745BA2-39F3-433D-B758-F26A8D8F711F}"/>
    <w:embedBold r:id="rId6" w:fontKey="{0164ED77-12E2-4E82-8DB8-FD856A7CCF11}"/>
    <w:embedItalic r:id="rId7" w:fontKey="{DC88F4C6-1582-4DD0-B3F2-1F61C7E6E6D7}"/>
  </w:font>
  <w:font w:name="Consolas">
    <w:panose1 w:val="020B0609020204030204"/>
    <w:charset w:val="00"/>
    <w:family w:val="modern"/>
    <w:pitch w:val="fixed"/>
    <w:sig w:usb0="E00006FF" w:usb1="0000FCFF" w:usb2="00000001" w:usb3="00000000" w:csb0="0000019F" w:csb1="00000000"/>
    <w:embedRegular r:id="rId8" w:fontKey="{F8445A67-B2E6-49B3-947A-26849296FBA2}"/>
  </w:font>
  <w:font w:name="Tahoma">
    <w:panose1 w:val="020B0604030504040204"/>
    <w:charset w:val="00"/>
    <w:family w:val="swiss"/>
    <w:pitch w:val="variable"/>
    <w:sig w:usb0="E1002EFF" w:usb1="C000605B" w:usb2="00000029" w:usb3="00000000" w:csb0="000101FF" w:csb1="00000000"/>
    <w:embedRegular r:id="rId9" w:fontKey="{74F142D8-B256-4A43-9834-967D3BD84DC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F1829A05-7CD2-4BD3-86ED-D03DCCC4B71B}"/>
  </w:font>
  <w:font w:name="Open Sans">
    <w:altName w:val="Open Sans"/>
    <w:charset w:val="00"/>
    <w:family w:val="swiss"/>
    <w:pitch w:val="variable"/>
    <w:sig w:usb0="E00002EF" w:usb1="4000205B" w:usb2="00000028" w:usb3="00000000" w:csb0="0000019F" w:csb1="00000000"/>
    <w:embedRegular r:id="rId11" w:fontKey="{E84A5480-39EC-44A1-A9D8-19EB2A6F6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EE149" w14:textId="77777777" w:rsidR="00977000" w:rsidRDefault="00977000" w:rsidP="00C9238F">
      <w:pPr>
        <w:spacing w:after="0" w:line="240" w:lineRule="auto"/>
      </w:pPr>
      <w:r>
        <w:separator/>
      </w:r>
    </w:p>
  </w:footnote>
  <w:footnote w:type="continuationSeparator" w:id="0">
    <w:p w14:paraId="4FC4D5AF" w14:textId="77777777" w:rsidR="00977000" w:rsidRDefault="009770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43942"/>
    <w:rsid w:val="00052382"/>
    <w:rsid w:val="0006568A"/>
    <w:rsid w:val="00065A07"/>
    <w:rsid w:val="00076F0F"/>
    <w:rsid w:val="00084253"/>
    <w:rsid w:val="000D0A38"/>
    <w:rsid w:val="000D1F49"/>
    <w:rsid w:val="000D68B9"/>
    <w:rsid w:val="00110BAB"/>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7E5F5E"/>
    <w:rsid w:val="0082043E"/>
    <w:rsid w:val="00852B20"/>
    <w:rsid w:val="00887812"/>
    <w:rsid w:val="00897670"/>
    <w:rsid w:val="008B0E32"/>
    <w:rsid w:val="008E203A"/>
    <w:rsid w:val="0091229C"/>
    <w:rsid w:val="00920221"/>
    <w:rsid w:val="00940E73"/>
    <w:rsid w:val="00977000"/>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urnals.sagepub.com/doi/abs/10.1177/095440622097306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ciencedirect.com/science/article/pii/S2214157X2100024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linelibrary.wiley.com/doi/abs/10.1002/htj.2156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library.wiley.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2022-06-07T04:47:00Z</dcterms:created>
  <dcterms:modified xsi:type="dcterms:W3CDTF">2022-06-07T04:47:00Z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