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F608F8F" w:rsidR="00C9238F" w:rsidRPr="00C333A6" w:rsidRDefault="00923C8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23C81">
              <w:rPr>
                <w:rFonts w:ascii="Times New Roman" w:hAnsi="Times New Roman" w:cs="Times New Roman"/>
              </w:rPr>
              <w:t>In Body Antenna for Monitoring and Controlling Pacemaker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89DCF00" w:rsidR="00C9238F" w:rsidRPr="005E19AD" w:rsidRDefault="00923C81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923C81">
              <w:rPr>
                <w:rFonts w:ascii="Times New Roman" w:hAnsi="Times New Roman" w:cs="Times New Roman"/>
              </w:rPr>
              <w:t xml:space="preserve">S. Sinha, T. R. </w:t>
            </w:r>
            <w:proofErr w:type="spellStart"/>
            <w:r w:rsidRPr="00923C81">
              <w:rPr>
                <w:rFonts w:ascii="Times New Roman" w:hAnsi="Times New Roman" w:cs="Times New Roman"/>
              </w:rPr>
              <w:t>Niloy</w:t>
            </w:r>
            <w:proofErr w:type="spellEnd"/>
            <w:r w:rsidRPr="00923C81">
              <w:rPr>
                <w:rFonts w:ascii="Times New Roman" w:hAnsi="Times New Roman" w:cs="Times New Roman"/>
              </w:rPr>
              <w:t>, R. R. Hasan, and M. A. Rahman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58F1D03" w:rsidR="00C9238F" w:rsidRPr="005E19AD" w:rsidRDefault="00923C8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23C81">
              <w:rPr>
                <w:rFonts w:ascii="Times New Roman" w:hAnsi="Times New Roman" w:cs="Times New Roman"/>
              </w:rPr>
              <w:t>Advances in Science, Technology and Engineering Systems Journal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8CD89F7" w:rsidR="00576892" w:rsidRPr="005E19AD" w:rsidRDefault="00923C8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D7A5BEA" w:rsidR="00576892" w:rsidRPr="005E19AD" w:rsidRDefault="00923C8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E383A10" w:rsidR="00852B20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4B1B4D5" w:rsidR="00852B20" w:rsidRPr="005E19AD" w:rsidRDefault="00923C8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March</w:t>
            </w:r>
            <w:r w:rsidR="0036573F" w:rsidRPr="00BC6682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21BCEA0" w:rsidR="00852B20" w:rsidRPr="005E19AD" w:rsidRDefault="00923C8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23C81">
              <w:rPr>
                <w:rFonts w:ascii="Times New Roman" w:hAnsi="Times New Roman" w:cs="Times New Roman"/>
              </w:rPr>
              <w:t>2415-6699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5B94CE5" w:rsidR="0036573F" w:rsidRPr="00C333A6" w:rsidRDefault="001F5F37" w:rsidP="0036573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48ECBD5" w:rsidR="0036573F" w:rsidRPr="005E19AD" w:rsidRDefault="00923C81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923C81">
              <w:rPr>
                <w:rFonts w:ascii="Times New Roman" w:hAnsi="Times New Roman" w:cs="Times New Roman"/>
              </w:rPr>
              <w:t>https://astesj.com/v05/i02/p09/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8A71665" w:rsidR="0036573F" w:rsidRPr="005E19AD" w:rsidRDefault="0036573F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923C81" w:rsidRPr="00923C81">
              <w:rPr>
                <w:rFonts w:ascii="Times New Roman" w:hAnsi="Times New Roman" w:cs="Times New Roman"/>
              </w:rPr>
              <w:t>74-79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923C81" w:rsidRDefault="00C9238F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FEC39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7B86D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This paper is an extension of work originally presented in 2019 International Conference</w:t>
            </w:r>
          </w:p>
          <w:p w14:paraId="146AF8D4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on Automation, Computational and Technology Management (ICACTM). A micro-strip</w:t>
            </w:r>
          </w:p>
          <w:p w14:paraId="66D89E93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patch in-body designed antenna is constructed on pacemaker to monitor and control the</w:t>
            </w:r>
          </w:p>
          <w:p w14:paraId="1F486B22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pacemaker wirelessly. The antenna is intended for ISM (Industrial, Scientific, and Medical)</w:t>
            </w:r>
          </w:p>
          <w:p w14:paraId="3842C940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band (2.4 GHz to 2.48 GHz). A perfect electric conductor (PEC) is considered as</w:t>
            </w:r>
          </w:p>
          <w:p w14:paraId="752F642E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pacemaker body and used as the ground of the propounded antenna having dimensions 40</w:t>
            </w:r>
          </w:p>
          <w:p w14:paraId="362320F0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x 30 x 10 mm3. The patch material is chosen Copper having dimensions 35 x 22 x 0.1 mm3</w:t>
            </w:r>
          </w:p>
          <w:p w14:paraId="7CB36423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and covered up with substrate material Rogers R03010 (loss tangent δ = 0.0035 and</w:t>
            </w:r>
          </w:p>
          <w:p w14:paraId="09158176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 xml:space="preserve">dielectric constant, </w:t>
            </w: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r = 10.2) with thickness of 1.55 mm to make it compatible in human</w:t>
            </w:r>
          </w:p>
          <w:p w14:paraId="19145154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body. The designed antenna is placed and analyzed in 2/3 muscle equivalent phantom by</w:t>
            </w:r>
          </w:p>
          <w:p w14:paraId="3B80C59A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changing the depth of the antenna. Results disclose that operating frequency is 2.464 GHz</w:t>
            </w:r>
          </w:p>
          <w:p w14:paraId="562986BA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 xml:space="preserve">with reflection coefficient -28.37 </w:t>
            </w:r>
            <w:proofErr w:type="spellStart"/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dB.</w:t>
            </w:r>
            <w:proofErr w:type="spellEnd"/>
            <w:r w:rsidRPr="00923C81">
              <w:rPr>
                <w:rFonts w:ascii="Times New Roman" w:hAnsi="Times New Roman" w:cs="Times New Roman"/>
                <w:sz w:val="24"/>
                <w:szCs w:val="24"/>
              </w:rPr>
              <w:t xml:space="preserve"> The antenna maintains frequency range from 1.8075</w:t>
            </w:r>
          </w:p>
          <w:p w14:paraId="122268FC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GHz to 3.445 GHz, which represents wide bandwidth of 1.6375 GHz. To ensure the human</w:t>
            </w:r>
          </w:p>
          <w:p w14:paraId="4D22561A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body safety, specific absorption rate is analyzed and found 0.937 W/Kg for 10g tissue at</w:t>
            </w:r>
          </w:p>
          <w:p w14:paraId="394DF305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operating frequency, which makes it biocompatible. The surface current distribution,</w:t>
            </w:r>
          </w:p>
          <w:p w14:paraId="7E70DCE8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Voltage Standing Wave Ratio, Current density, far-field radiation characteristics, radiation</w:t>
            </w:r>
          </w:p>
          <w:p w14:paraId="4AD7A52B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efficiency, and total efficiency are investigated to analyze the effect and performance of the</w:t>
            </w:r>
          </w:p>
          <w:p w14:paraId="4DE84A3F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designed antenna. CST Microwave Studio is used for simulation and analysis the</w:t>
            </w:r>
          </w:p>
          <w:p w14:paraId="6E43C873" w14:textId="637534BE" w:rsidR="00852B20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parameters of the antenna.</w:t>
            </w:r>
          </w:p>
          <w:p w14:paraId="440CF12E" w14:textId="263CDE7E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04871" w14:textId="3F57C129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A1EE2" w14:textId="479F8789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F7EE4" w14:textId="2953CECA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0ECAF" w14:textId="62F4AC1F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C0417" w14:textId="33B5D699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6892A" w14:textId="49F90B71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8B933" w14:textId="0525E0DA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FC079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2D394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CCAB8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B0CC1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6E0B0" w14:textId="7609C803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41D24" w14:textId="77777777" w:rsidR="002905F3" w:rsidRDefault="002905F3" w:rsidP="00C9238F">
      <w:pPr>
        <w:spacing w:after="0" w:line="240" w:lineRule="auto"/>
      </w:pPr>
      <w:r>
        <w:separator/>
      </w:r>
    </w:p>
  </w:endnote>
  <w:endnote w:type="continuationSeparator" w:id="0">
    <w:p w14:paraId="11F59989" w14:textId="77777777" w:rsidR="002905F3" w:rsidRDefault="002905F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9667F9-EEFE-4709-A77B-B626E96D8C6B}"/>
    <w:embedBold r:id="rId2" w:fontKey="{513CD754-469C-49ED-9A31-0686DC30A3F5}"/>
    <w:embedItalic r:id="rId3" w:fontKey="{4B6D9E70-A40D-4F36-A12B-A3F305AE031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A5B1CDE-EFA8-40A5-893A-F1CEBEE28B7C}"/>
    <w:embedBold r:id="rId5" w:fontKey="{6823581D-F117-4597-B213-E0787F04FF5C}"/>
    <w:embedItalic r:id="rId6" w:fontKey="{5131D7BC-7E45-4A74-B1AF-7E07FCE5443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16C05F2-340F-42F5-BF6A-0BF6A3099E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0CB79" w14:textId="77777777" w:rsidR="002905F3" w:rsidRDefault="002905F3" w:rsidP="00C9238F">
      <w:pPr>
        <w:spacing w:after="0" w:line="240" w:lineRule="auto"/>
      </w:pPr>
      <w:r>
        <w:separator/>
      </w:r>
    </w:p>
  </w:footnote>
  <w:footnote w:type="continuationSeparator" w:id="0">
    <w:p w14:paraId="3260CE69" w14:textId="77777777" w:rsidR="002905F3" w:rsidRDefault="002905F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1F5F37"/>
    <w:rsid w:val="0020377B"/>
    <w:rsid w:val="002905F3"/>
    <w:rsid w:val="002B68E4"/>
    <w:rsid w:val="002C56E6"/>
    <w:rsid w:val="002D3238"/>
    <w:rsid w:val="00361E11"/>
    <w:rsid w:val="0036573F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E4FDC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23C8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10A4E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2022-06-07T04:24:00Z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