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1"/>
        <w:gridCol w:w="2840"/>
        <w:gridCol w:w="1544"/>
        <w:gridCol w:w="2905"/>
      </w:tblGrid>
      <w:tr w:rsidR="00C9238F" w:rsidRPr="00DD54E2" w14:paraId="104F9DBE" w14:textId="77777777" w:rsidTr="002B2D0C">
        <w:tc>
          <w:tcPr>
            <w:tcW w:w="1106" w:type="pct"/>
            <w:vAlign w:val="center"/>
          </w:tcPr>
          <w:p w14:paraId="06D363B0" w14:textId="42B457F9" w:rsidR="00C9238F" w:rsidRPr="00DD54E2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DD54E2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DD54E2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45078E9B" w:rsidR="00C9238F" w:rsidRPr="00DD54E2" w:rsidRDefault="00AD132A" w:rsidP="00AD132A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132A">
              <w:rPr>
                <w:rFonts w:ascii="Times New Roman" w:hAnsi="Times New Roman" w:cs="Times New Roman"/>
                <w:b/>
                <w:bCs/>
              </w:rPr>
              <w:t>Assessment of the 50 % and 95 % effective paratracheal forces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D132A">
              <w:rPr>
                <w:rFonts w:ascii="Times New Roman" w:hAnsi="Times New Roman" w:cs="Times New Roman"/>
                <w:b/>
                <w:bCs/>
              </w:rPr>
              <w:t>for occluding the esophagus in anesthetized patients</w:t>
            </w:r>
          </w:p>
        </w:tc>
      </w:tr>
      <w:tr w:rsidR="00C9238F" w:rsidRPr="00DD54E2" w14:paraId="41B6DFDE" w14:textId="77777777" w:rsidTr="002B2D0C">
        <w:tc>
          <w:tcPr>
            <w:tcW w:w="1106" w:type="pct"/>
            <w:vAlign w:val="center"/>
          </w:tcPr>
          <w:p w14:paraId="59632982" w14:textId="1B9FC3CD" w:rsidR="00C9238F" w:rsidRPr="00DD54E2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DD54E2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DD54E2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2C0803DF" w:rsidR="00C9238F" w:rsidRPr="00DD54E2" w:rsidRDefault="00AD132A" w:rsidP="003B3C6F">
            <w:pPr>
              <w:spacing w:before="240"/>
              <w:rPr>
                <w:rFonts w:ascii="Times New Roman" w:hAnsi="Times New Roman" w:cs="Times New Roman"/>
              </w:rPr>
            </w:pPr>
            <w:r w:rsidRPr="00AD132A">
              <w:rPr>
                <w:rFonts w:ascii="Times New Roman" w:hAnsi="Times New Roman" w:cs="Times New Roman"/>
              </w:rPr>
              <w:t>Hyerim Kim</w:t>
            </w:r>
            <w:r>
              <w:rPr>
                <w:rFonts w:ascii="Times New Roman" w:hAnsi="Times New Roman" w:cs="Times New Roman"/>
              </w:rPr>
              <w:t>,</w:t>
            </w:r>
            <w:r w:rsidRPr="00AD132A">
              <w:rPr>
                <w:rFonts w:ascii="Times New Roman" w:hAnsi="Times New Roman" w:cs="Times New Roman"/>
              </w:rPr>
              <w:t xml:space="preserve"> Shuvra Mondal</w:t>
            </w:r>
            <w:r>
              <w:rPr>
                <w:rFonts w:ascii="Times New Roman" w:hAnsi="Times New Roman" w:cs="Times New Roman"/>
              </w:rPr>
              <w:t>,</w:t>
            </w:r>
            <w:r w:rsidRPr="00AD132A">
              <w:rPr>
                <w:rFonts w:ascii="Times New Roman" w:hAnsi="Times New Roman" w:cs="Times New Roman"/>
              </w:rPr>
              <w:t xml:space="preserve"> Choon‑Gi Choi</w:t>
            </w:r>
            <w:r>
              <w:rPr>
                <w:rFonts w:ascii="Times New Roman" w:hAnsi="Times New Roman" w:cs="Times New Roman"/>
              </w:rPr>
              <w:t>,</w:t>
            </w:r>
            <w:r w:rsidRPr="00AD132A">
              <w:rPr>
                <w:rFonts w:ascii="Times New Roman" w:hAnsi="Times New Roman" w:cs="Times New Roman"/>
              </w:rPr>
              <w:t xml:space="preserve"> Jin‑Young Hwang</w:t>
            </w:r>
          </w:p>
        </w:tc>
      </w:tr>
      <w:tr w:rsidR="00C9238F" w:rsidRPr="00DD54E2" w14:paraId="1694AB7A" w14:textId="77777777" w:rsidTr="002B2D0C">
        <w:tc>
          <w:tcPr>
            <w:tcW w:w="1106" w:type="pct"/>
            <w:vAlign w:val="center"/>
          </w:tcPr>
          <w:p w14:paraId="1FB726A9" w14:textId="5B2748DE" w:rsidR="00C9238F" w:rsidRPr="00DD54E2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DD54E2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DD54E2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172957D4" w:rsidR="00C9238F" w:rsidRPr="00DD54E2" w:rsidRDefault="00477CD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D54E2">
              <w:rPr>
                <w:rFonts w:ascii="Times New Roman" w:hAnsi="Times New Roman" w:cs="Times New Roman"/>
              </w:rPr>
              <w:t>shuvra</w:t>
            </w:r>
            <w:r w:rsidR="005E19AD" w:rsidRPr="00DD54E2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DD54E2" w14:paraId="3A03CA46" w14:textId="77777777" w:rsidTr="002B2D0C">
        <w:tc>
          <w:tcPr>
            <w:tcW w:w="1106" w:type="pct"/>
            <w:vAlign w:val="center"/>
          </w:tcPr>
          <w:p w14:paraId="60832908" w14:textId="0D234BBC" w:rsidR="00C9238F" w:rsidRPr="00DD54E2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DD54E2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DD54E2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64A53C48" w:rsidR="00C9238F" w:rsidRPr="00DD54E2" w:rsidRDefault="00AD132A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D132A">
              <w:rPr>
                <w:rFonts w:ascii="Times New Roman" w:hAnsi="Times New Roman" w:cs="Times New Roman"/>
              </w:rPr>
              <w:t>Journal of Clinical Monitoring and Computing</w:t>
            </w:r>
          </w:p>
        </w:tc>
      </w:tr>
      <w:tr w:rsidR="00010104" w:rsidRPr="00DD54E2" w14:paraId="29260EEE" w14:textId="77777777" w:rsidTr="002B2D0C">
        <w:tc>
          <w:tcPr>
            <w:tcW w:w="1106" w:type="pct"/>
            <w:vAlign w:val="center"/>
          </w:tcPr>
          <w:p w14:paraId="6F11A6E8" w14:textId="1E1D3208" w:rsidR="00010104" w:rsidRPr="00DD54E2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DD54E2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DD54E2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DD54E2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D54E2"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DD54E2" w14:paraId="0198AB89" w14:textId="77777777" w:rsidTr="002B2D0C">
        <w:tc>
          <w:tcPr>
            <w:tcW w:w="1106" w:type="pct"/>
            <w:vAlign w:val="center"/>
          </w:tcPr>
          <w:p w14:paraId="3E73A81C" w14:textId="6115225D" w:rsidR="00576892" w:rsidRPr="00DD54E2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DD54E2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DD54E2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517" w:type="pct"/>
            <w:tcBorders>
              <w:bottom w:val="single" w:sz="4" w:space="0" w:color="auto"/>
            </w:tcBorders>
            <w:vAlign w:val="bottom"/>
          </w:tcPr>
          <w:p w14:paraId="76051B5A" w14:textId="4B0DD67A" w:rsidR="00576892" w:rsidRPr="00DD54E2" w:rsidRDefault="00AD132A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825" w:type="pct"/>
            <w:vAlign w:val="bottom"/>
          </w:tcPr>
          <w:p w14:paraId="3CF73C17" w14:textId="63278ED5" w:rsidR="00576892" w:rsidRPr="00DD54E2" w:rsidRDefault="00010104" w:rsidP="00576892">
            <w:pPr>
              <w:rPr>
                <w:rFonts w:ascii="Times New Roman" w:hAnsi="Times New Roman" w:cs="Times New Roman"/>
                <w:b/>
                <w:bCs/>
              </w:rPr>
            </w:pPr>
            <w:r w:rsidRPr="00DD54E2">
              <w:rPr>
                <w:rFonts w:ascii="Times New Roman" w:hAnsi="Times New Roman" w:cs="Times New Roman"/>
                <w:b/>
                <w:bCs/>
              </w:rPr>
              <w:t>Issue</w:t>
            </w:r>
          </w:p>
        </w:tc>
        <w:tc>
          <w:tcPr>
            <w:tcW w:w="1553" w:type="pct"/>
            <w:tcBorders>
              <w:bottom w:val="single" w:sz="4" w:space="0" w:color="auto"/>
            </w:tcBorders>
            <w:vAlign w:val="bottom"/>
          </w:tcPr>
          <w:p w14:paraId="73C90383" w14:textId="62FE99ED" w:rsidR="00576892" w:rsidRPr="00DD54E2" w:rsidRDefault="00AD132A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852B20" w:rsidRPr="00DD54E2" w14:paraId="29A11658" w14:textId="77777777" w:rsidTr="002B2D0C">
        <w:tc>
          <w:tcPr>
            <w:tcW w:w="1106" w:type="pct"/>
            <w:vAlign w:val="center"/>
          </w:tcPr>
          <w:p w14:paraId="6B703DB8" w14:textId="02D4323D" w:rsidR="00852B20" w:rsidRPr="00DD54E2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DD54E2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DD54E2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141233C3" w:rsidR="00852B20" w:rsidRPr="00DD54E2" w:rsidRDefault="00AD132A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Springer</w:t>
            </w:r>
            <w:r w:rsidR="006F1928" w:rsidRPr="00DD54E2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52B20" w:rsidRPr="00DD54E2" w14:paraId="0977BFEF" w14:textId="77777777" w:rsidTr="002B2D0C">
        <w:tc>
          <w:tcPr>
            <w:tcW w:w="1106" w:type="pct"/>
            <w:vAlign w:val="center"/>
          </w:tcPr>
          <w:p w14:paraId="4291962E" w14:textId="21980995" w:rsidR="00852B20" w:rsidRPr="00DD54E2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DD54E2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DD54E2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1ED2FFE9" w:rsidR="00852B20" w:rsidRPr="00DD54E2" w:rsidRDefault="00AD132A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April</w:t>
            </w:r>
            <w:r w:rsidR="00395B32" w:rsidRPr="00DD54E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</w:t>
            </w:r>
            <w:r w:rsidR="00BC6682" w:rsidRPr="00DD54E2">
              <w:rPr>
                <w:rFonts w:ascii="Times New Roman" w:hAnsi="Times New Roman" w:cs="Times New Roman"/>
              </w:rPr>
              <w:t>, 20</w:t>
            </w:r>
            <w:r w:rsidR="00477CDD" w:rsidRPr="00DD54E2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852B20" w:rsidRPr="00DD54E2" w14:paraId="04C32390" w14:textId="77777777" w:rsidTr="002B2D0C">
        <w:tc>
          <w:tcPr>
            <w:tcW w:w="1106" w:type="pct"/>
            <w:vAlign w:val="center"/>
          </w:tcPr>
          <w:p w14:paraId="13D6FAC3" w14:textId="60B44E2E" w:rsidR="00852B20" w:rsidRPr="00DD54E2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DD54E2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DD54E2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6A95CA69" w:rsidR="00852B20" w:rsidRPr="00DD54E2" w:rsidRDefault="00AD132A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D132A">
              <w:rPr>
                <w:rFonts w:ascii="Times New Roman" w:hAnsi="Times New Roman" w:cs="Times New Roman"/>
              </w:rPr>
              <w:t>1573-2614</w:t>
            </w:r>
          </w:p>
        </w:tc>
      </w:tr>
      <w:tr w:rsidR="00852B20" w:rsidRPr="00DD54E2" w14:paraId="6125C715" w14:textId="77777777" w:rsidTr="002B2D0C">
        <w:tc>
          <w:tcPr>
            <w:tcW w:w="1106" w:type="pct"/>
            <w:vAlign w:val="center"/>
          </w:tcPr>
          <w:p w14:paraId="41B57CC6" w14:textId="00281C46" w:rsidR="00852B20" w:rsidRPr="00DD54E2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DD54E2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DD54E2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5903F34A" w:rsidR="00852B20" w:rsidRPr="00DD54E2" w:rsidRDefault="00AD132A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AD132A">
              <w:rPr>
                <w:rFonts w:ascii="Times New Roman" w:hAnsi="Times New Roman" w:cs="Times New Roman"/>
              </w:rPr>
              <w:t>https://doi.org/10.1007/s10877-021-00652-w</w:t>
            </w:r>
          </w:p>
        </w:tc>
      </w:tr>
      <w:tr w:rsidR="00C9238F" w:rsidRPr="00DD54E2" w14:paraId="16A1DAEC" w14:textId="77777777" w:rsidTr="002B2D0C">
        <w:tc>
          <w:tcPr>
            <w:tcW w:w="1106" w:type="pct"/>
            <w:vAlign w:val="center"/>
          </w:tcPr>
          <w:p w14:paraId="58F94C75" w14:textId="1DD14994" w:rsidR="00C9238F" w:rsidRPr="00DD54E2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DD54E2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DD54E2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175A0B54" w:rsidR="00C9238F" w:rsidRPr="00DD54E2" w:rsidRDefault="00AD132A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D132A">
              <w:rPr>
                <w:rFonts w:ascii="Times New Roman" w:hAnsi="Times New Roman" w:cs="Times New Roman"/>
              </w:rPr>
              <w:t>https://link.springer.com/article/10.1007/s10877-021-00652-w#citeas</w:t>
            </w:r>
          </w:p>
        </w:tc>
      </w:tr>
      <w:tr w:rsidR="00852B20" w:rsidRPr="00DD54E2" w14:paraId="204EC2C6" w14:textId="77777777" w:rsidTr="002B2D0C">
        <w:tc>
          <w:tcPr>
            <w:tcW w:w="1106" w:type="pct"/>
            <w:vAlign w:val="center"/>
          </w:tcPr>
          <w:p w14:paraId="07EC2428" w14:textId="01006353" w:rsidR="00852B20" w:rsidRPr="00DD54E2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DD54E2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DD54E2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65E80C8A" w:rsidR="00852B20" w:rsidRPr="00DD54E2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D54E2">
              <w:rPr>
                <w:rFonts w:ascii="Times New Roman" w:hAnsi="Times New Roman" w:cs="Times New Roman"/>
              </w:rPr>
              <w:t>Page</w:t>
            </w:r>
            <w:r w:rsidR="00AD132A">
              <w:rPr>
                <w:rFonts w:ascii="Times New Roman" w:hAnsi="Times New Roman" w:cs="Times New Roman"/>
              </w:rPr>
              <w:t xml:space="preserve"> </w:t>
            </w:r>
            <w:r w:rsidR="00AD132A" w:rsidRPr="00AD132A">
              <w:rPr>
                <w:rFonts w:ascii="Times New Roman" w:hAnsi="Times New Roman" w:cs="Times New Roman"/>
                <w:b/>
                <w:bCs/>
              </w:rPr>
              <w:t>335–340</w:t>
            </w:r>
          </w:p>
        </w:tc>
      </w:tr>
      <w:tr w:rsidR="00C9238F" w:rsidRPr="00DD54E2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DD54E2" w:rsidRDefault="00C9238F" w:rsidP="00576892">
            <w:pPr>
              <w:rPr>
                <w:rFonts w:ascii="Times New Roman" w:hAnsi="Times New Roman" w:cs="Times New Roman"/>
                <w:b/>
                <w:bCs/>
                <w:sz w:val="8"/>
              </w:rPr>
            </w:pPr>
          </w:p>
        </w:tc>
      </w:tr>
    </w:tbl>
    <w:p w14:paraId="368EFAEB" w14:textId="77777777" w:rsidR="00852B20" w:rsidRPr="00DD54E2" w:rsidRDefault="00852B20">
      <w:pPr>
        <w:rPr>
          <w:rFonts w:ascii="Times New Roman" w:hAnsi="Times New Roman" w:cs="Times New Roman"/>
          <w:b/>
          <w:bCs/>
        </w:rPr>
      </w:pPr>
      <w:r w:rsidRPr="00DD54E2">
        <w:rPr>
          <w:rFonts w:ascii="Times New Roman" w:hAnsi="Times New Roman" w:cs="Times New Roman"/>
          <w:b/>
          <w:bCs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DD54E2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DD54E2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DD54E2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DD54E2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DD54E2" w:rsidRDefault="00C9238F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9238F" w:rsidRPr="00DD54E2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6E0B0" w14:textId="2D8C5A0B" w:rsidR="00852B20" w:rsidRPr="00AD132A" w:rsidRDefault="00AD132A" w:rsidP="00AD132A">
            <w:pPr>
              <w:rPr>
                <w:rFonts w:ascii="Times New Roman" w:hAnsi="Times New Roman" w:cs="Times New Roman"/>
              </w:rPr>
            </w:pPr>
            <w:r w:rsidRPr="00AD132A">
              <w:rPr>
                <w:rFonts w:ascii="Times New Roman" w:hAnsi="Times New Roman" w:cs="Times New Roman"/>
              </w:rPr>
              <w:t>This study aimed to evaluate the 50% and 95% effective paratracheal forces for occluding the esophagus in anesthetized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D132A">
              <w:rPr>
                <w:rFonts w:ascii="Times New Roman" w:hAnsi="Times New Roman" w:cs="Times New Roman"/>
              </w:rPr>
              <w:t>patients. In 46 anesthetized patients, the upper esophagus was examined using ultrasonography, and the lower paratracheal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D132A">
              <w:rPr>
                <w:rFonts w:ascii="Times New Roman" w:hAnsi="Times New Roman" w:cs="Times New Roman"/>
              </w:rPr>
              <w:t>area over the esophagus just above the clavicle was marked. Manual paratracheal force was applied over that area using 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D132A">
              <w:rPr>
                <w:rFonts w:ascii="Times New Roman" w:hAnsi="Times New Roman" w:cs="Times New Roman"/>
              </w:rPr>
              <w:t>novel pressure sensing device set-up. In the first patient, a 20 N paratracheal force was applied, and the patency of the esophagus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D132A">
              <w:rPr>
                <w:rFonts w:ascii="Times New Roman" w:hAnsi="Times New Roman" w:cs="Times New Roman"/>
              </w:rPr>
              <w:t>was assessed by advancing the esophageal stethoscope. Unsuccessful advancement of the esophageal stethoscope was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D132A">
              <w:rPr>
                <w:rFonts w:ascii="Times New Roman" w:hAnsi="Times New Roman" w:cs="Times New Roman"/>
              </w:rPr>
              <w:t>considered an effective paratracheal force. If advancement of the esophageal stethoscope was successful, the paratracheal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D132A">
              <w:rPr>
                <w:rFonts w:ascii="Times New Roman" w:hAnsi="Times New Roman" w:cs="Times New Roman"/>
              </w:rPr>
              <w:t>force was increased by 2 N for the next patient, and if it was unsuccessful, the force was decreased by 2 N for the next patient.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D132A">
              <w:rPr>
                <w:rFonts w:ascii="Times New Roman" w:hAnsi="Times New Roman" w:cs="Times New Roman"/>
              </w:rPr>
              <w:t>These sequential tests were performed using 12- and 18-Fr esophageal stethoscopes, respectively. According to Dixon and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D132A">
              <w:rPr>
                <w:rFonts w:ascii="Times New Roman" w:hAnsi="Times New Roman" w:cs="Times New Roman"/>
              </w:rPr>
              <w:t>Mood method, the 50% effective paratracheal force (confidence interval) was 18.4 (17.5‒19.3) N with the use of a 12-Fr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D132A">
              <w:rPr>
                <w:rFonts w:ascii="Times New Roman" w:hAnsi="Times New Roman" w:cs="Times New Roman"/>
              </w:rPr>
              <w:t>esophageal stethoscope and 12.8 (11.0‒14.6) N with the use of an 18-Fr esophageal stethoscope. Using probit regression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D132A">
              <w:rPr>
                <w:rFonts w:ascii="Times New Roman" w:hAnsi="Times New Roman" w:cs="Times New Roman"/>
              </w:rPr>
              <w:t>analysis, the 50% and 95% effective paratracheal forces were 18.4 (16.8‒19.6) N and 20.6 (19.4‒27.9) N, respectively, with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D132A">
              <w:rPr>
                <w:rFonts w:ascii="Times New Roman" w:hAnsi="Times New Roman" w:cs="Times New Roman"/>
              </w:rPr>
              <w:t>the use of a 12-Fr esophageal stethoscope, and 12.4 (8.3‒14.4) N and 16.9 (14.7‒37.3) N, respectively, with the use of an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D132A">
              <w:rPr>
                <w:rFonts w:ascii="Times New Roman" w:hAnsi="Times New Roman" w:cs="Times New Roman"/>
              </w:rPr>
              <w:t>18-Fr esophageal stethoscope. Our findings suggest a guide for applying paratracheal force during rapid sequence induction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D132A">
              <w:rPr>
                <w:rFonts w:ascii="Times New Roman" w:hAnsi="Times New Roman" w:cs="Times New Roman"/>
              </w:rPr>
              <w:t>and tracheal intubation.</w:t>
            </w:r>
          </w:p>
        </w:tc>
      </w:tr>
    </w:tbl>
    <w:p w14:paraId="048A3FFA" w14:textId="233F9B9D" w:rsidR="00C9238F" w:rsidRPr="00DD54E2" w:rsidRDefault="00C9238F" w:rsidP="007177F7">
      <w:pPr>
        <w:pStyle w:val="NoSpacing"/>
        <w:rPr>
          <w:rFonts w:ascii="Times New Roman" w:hAnsi="Times New Roman" w:cs="Times New Roman"/>
          <w:b/>
          <w:bCs/>
        </w:rPr>
      </w:pPr>
    </w:p>
    <w:sectPr w:rsidR="00C9238F" w:rsidRPr="00DD54E2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A294B" w14:textId="77777777" w:rsidR="000F08E5" w:rsidRDefault="000F08E5" w:rsidP="00C9238F">
      <w:pPr>
        <w:spacing w:after="0" w:line="240" w:lineRule="auto"/>
      </w:pPr>
      <w:r>
        <w:separator/>
      </w:r>
    </w:p>
  </w:endnote>
  <w:endnote w:type="continuationSeparator" w:id="0">
    <w:p w14:paraId="6B4FD54E" w14:textId="77777777" w:rsidR="000F08E5" w:rsidRDefault="000F08E5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9BFDC87-7FCD-4AE0-8DEF-C7CF3657FF04}"/>
    <w:embedBold r:id="rId2" w:fontKey="{93AFE75B-310B-440C-8844-6B8D5010EAE7}"/>
    <w:embedItalic r:id="rId3" w:fontKey="{69E375B5-03B2-410D-9150-D1D0BF8A9C0E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B4C979C9-A041-481F-B40B-C85B68E8C83F}"/>
    <w:embedBold r:id="rId5" w:fontKey="{A3EFAFE6-E610-4B9D-9C33-CDEF1DF977BF}"/>
    <w:embedItalic r:id="rId6" w:fontKey="{EAD7CF1C-49C1-419D-90EF-9C705D1DEF99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B3C8C0E8-67CF-4EE2-AE46-661BF49FA575}"/>
    <w:embedBold r:id="rId8" w:fontKey="{448AAF82-B72C-4A5D-9BA6-3CB557FB6FFB}"/>
    <w:embedItalic r:id="rId9" w:fontKey="{65ADE3DC-0C10-4A55-8BE2-E61013E8D4B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AD6F424C-0FC2-4435-B3D2-1DEA0FFAC2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B78D0F" w14:textId="77777777" w:rsidR="000F08E5" w:rsidRDefault="000F08E5" w:rsidP="00C9238F">
      <w:pPr>
        <w:spacing w:after="0" w:line="240" w:lineRule="auto"/>
      </w:pPr>
      <w:r>
        <w:separator/>
      </w:r>
    </w:p>
  </w:footnote>
  <w:footnote w:type="continuationSeparator" w:id="0">
    <w:p w14:paraId="582F8822" w14:textId="77777777" w:rsidR="000F08E5" w:rsidRDefault="000F08E5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1D82"/>
    <w:rsid w:val="000B26A5"/>
    <w:rsid w:val="000D0A38"/>
    <w:rsid w:val="000D1F49"/>
    <w:rsid w:val="000D68B9"/>
    <w:rsid w:val="000F084A"/>
    <w:rsid w:val="000F08E5"/>
    <w:rsid w:val="00110BAB"/>
    <w:rsid w:val="001408C2"/>
    <w:rsid w:val="001727CA"/>
    <w:rsid w:val="001A6DB8"/>
    <w:rsid w:val="001F5CF8"/>
    <w:rsid w:val="0020377B"/>
    <w:rsid w:val="00241573"/>
    <w:rsid w:val="002A3D93"/>
    <w:rsid w:val="002B2D0C"/>
    <w:rsid w:val="002B68E4"/>
    <w:rsid w:val="002C56E6"/>
    <w:rsid w:val="002D3238"/>
    <w:rsid w:val="00351311"/>
    <w:rsid w:val="00361E11"/>
    <w:rsid w:val="00395B32"/>
    <w:rsid w:val="003B3C6F"/>
    <w:rsid w:val="003E42F4"/>
    <w:rsid w:val="003F0847"/>
    <w:rsid w:val="0040090B"/>
    <w:rsid w:val="00421017"/>
    <w:rsid w:val="00445BF2"/>
    <w:rsid w:val="0046302A"/>
    <w:rsid w:val="00477CDD"/>
    <w:rsid w:val="00487D2D"/>
    <w:rsid w:val="004D5D62"/>
    <w:rsid w:val="004E3724"/>
    <w:rsid w:val="004E5717"/>
    <w:rsid w:val="004F76A2"/>
    <w:rsid w:val="005112D0"/>
    <w:rsid w:val="00522B79"/>
    <w:rsid w:val="00524171"/>
    <w:rsid w:val="00576892"/>
    <w:rsid w:val="00577E06"/>
    <w:rsid w:val="005A3BF7"/>
    <w:rsid w:val="005E19AD"/>
    <w:rsid w:val="005F2035"/>
    <w:rsid w:val="005F7990"/>
    <w:rsid w:val="0063739C"/>
    <w:rsid w:val="006C5074"/>
    <w:rsid w:val="006F1928"/>
    <w:rsid w:val="006F5CDC"/>
    <w:rsid w:val="007177F7"/>
    <w:rsid w:val="0074090D"/>
    <w:rsid w:val="00744397"/>
    <w:rsid w:val="00770F25"/>
    <w:rsid w:val="00774C74"/>
    <w:rsid w:val="007A35A8"/>
    <w:rsid w:val="007B0A85"/>
    <w:rsid w:val="007C6A52"/>
    <w:rsid w:val="007E4956"/>
    <w:rsid w:val="0082043E"/>
    <w:rsid w:val="0083480F"/>
    <w:rsid w:val="00852B20"/>
    <w:rsid w:val="00867C98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C4184"/>
    <w:rsid w:val="00AD132A"/>
    <w:rsid w:val="00AF6BFE"/>
    <w:rsid w:val="00B14CAE"/>
    <w:rsid w:val="00B91971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C4765"/>
    <w:rsid w:val="00DD54E2"/>
    <w:rsid w:val="00DE2886"/>
    <w:rsid w:val="00E61C09"/>
    <w:rsid w:val="00EB302C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8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80447">
          <w:marLeft w:val="0"/>
          <w:marRight w:val="3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79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4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03656">
          <w:marLeft w:val="0"/>
          <w:marRight w:val="3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2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330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2023-09-20T11:26:00Z</dcterms:created>
  <dcterms:modified xsi:type="dcterms:W3CDTF">2023-09-20T11:26:00Z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60c56e39eb7c4e1df19e79c6f181b388055def5e93ae4ff5b7d45aa8776c3c64</vt:lpwstr>
  </property>
</Properties>
</file>