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BAD6FB9" w:rsidR="00C9238F" w:rsidRPr="00C333A6" w:rsidRDefault="00003284" w:rsidP="00576892">
            <w:pPr>
              <w:spacing w:before="240"/>
              <w:rPr>
                <w:rFonts w:ascii="Times New Roman" w:hAnsi="Times New Roman" w:cs="Times New Roman"/>
              </w:rPr>
            </w:pPr>
            <w:r>
              <w:t>Porous Hybrid Electrode Materials for High Energy Density Li-Ion and Li-S Batteries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B94B0EB" w:rsidR="00C9238F" w:rsidRPr="005E19AD" w:rsidRDefault="00003284" w:rsidP="005E19AD">
            <w:pPr>
              <w:spacing w:before="240"/>
              <w:rPr>
                <w:rFonts w:ascii="Times New Roman" w:hAnsi="Times New Roman" w:cs="Times New Roman"/>
              </w:rPr>
            </w:pPr>
            <w:r>
              <w:t>Saiful Islam, Mahbuba Khanom, Md. Al-Amin, S. Mosaddeq Ahmed, Farzana Khalil, Mohammad Mahbub Rabbani, Mohammad Tariqul Islam, and Md. A. R. Jamil</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9252A31" w:rsidR="00C9238F" w:rsidRPr="005E19AD" w:rsidRDefault="00D0412E" w:rsidP="00576892">
            <w:pPr>
              <w:spacing w:before="240"/>
              <w:rPr>
                <w:rFonts w:ascii="Times New Roman" w:hAnsi="Times New Roman" w:cs="Times New Roman"/>
              </w:rPr>
            </w:pPr>
            <w:r>
              <w:rPr>
                <w:rFonts w:ascii="Times New Roman" w:hAnsi="Times New Roman" w:cs="Times New Roman"/>
              </w:rPr>
              <w:t>saiful@ 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634E4B9" w:rsidR="00C9238F" w:rsidRPr="005E19AD" w:rsidRDefault="00003284" w:rsidP="00576892">
            <w:pPr>
              <w:spacing w:before="240"/>
              <w:rPr>
                <w:rFonts w:ascii="Times New Roman" w:hAnsi="Times New Roman" w:cs="Times New Roman"/>
              </w:rPr>
            </w:pPr>
            <w:r>
              <w:t>Chemically Deposited Metal Chalcogenide-based Carbon Composites for Versatile Applications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1CFA4E26" w:rsidR="00010104" w:rsidRPr="005E19AD" w:rsidRDefault="00003284" w:rsidP="00576892">
            <w:pPr>
              <w:spacing w:before="240"/>
              <w:rPr>
                <w:rFonts w:ascii="Times New Roman" w:hAnsi="Times New Roman" w:cs="Times New Roman"/>
              </w:rPr>
            </w:pPr>
            <w:r>
              <w:rPr>
                <w:rFonts w:ascii="Times New Roman" w:hAnsi="Times New Roman" w:cs="Times New Roman"/>
              </w:rPr>
              <w:t>Book Chapter</w:t>
            </w:r>
          </w:p>
        </w:tc>
      </w:tr>
      <w:tr w:rsidR="00D0412E" w:rsidRPr="00D0412E" w14:paraId="0198AB89" w14:textId="77777777" w:rsidTr="000D68B9">
        <w:tc>
          <w:tcPr>
            <w:tcW w:w="1011" w:type="pct"/>
            <w:vAlign w:val="center"/>
          </w:tcPr>
          <w:p w14:paraId="3E73A81C" w14:textId="713E0E75" w:rsidR="00576892" w:rsidRPr="00D0412E" w:rsidRDefault="00010104" w:rsidP="00576892">
            <w:pPr>
              <w:spacing w:before="240"/>
              <w:rPr>
                <w:rFonts w:ascii="Times New Roman" w:hAnsi="Times New Roman" w:cs="Times New Roman"/>
              </w:rPr>
            </w:pPr>
            <w:r w:rsidRPr="00D0412E">
              <w:rPr>
                <w:rFonts w:ascii="Times New Roman" w:hAnsi="Times New Roman" w:cs="Times New Roman"/>
              </w:rPr>
              <w:t>Volume</w:t>
            </w:r>
          </w:p>
        </w:tc>
        <w:tc>
          <w:tcPr>
            <w:tcW w:w="1633" w:type="pct"/>
            <w:tcBorders>
              <w:bottom w:val="single" w:sz="4" w:space="0" w:color="auto"/>
            </w:tcBorders>
            <w:vAlign w:val="bottom"/>
          </w:tcPr>
          <w:p w14:paraId="76051B5A" w14:textId="5B2BB628" w:rsidR="00576892" w:rsidRPr="00D0412E" w:rsidRDefault="00D0412E" w:rsidP="00576892">
            <w:pPr>
              <w:spacing w:before="240"/>
              <w:rPr>
                <w:rFonts w:ascii="Times New Roman" w:hAnsi="Times New Roman" w:cs="Times New Roman"/>
              </w:rPr>
            </w:pPr>
            <w:r w:rsidRPr="00D0412E">
              <w:rPr>
                <w:rFonts w:ascii="Times New Roman" w:hAnsi="Times New Roman" w:cs="Times New Roman"/>
              </w:rPr>
              <w:t>1</w:t>
            </w:r>
          </w:p>
        </w:tc>
        <w:tc>
          <w:tcPr>
            <w:tcW w:w="817" w:type="pct"/>
            <w:vAlign w:val="bottom"/>
          </w:tcPr>
          <w:p w14:paraId="3CF73C17" w14:textId="63278ED5" w:rsidR="00576892" w:rsidRPr="00D0412E" w:rsidRDefault="00010104" w:rsidP="00576892">
            <w:pPr>
              <w:rPr>
                <w:rFonts w:ascii="Times New Roman" w:hAnsi="Times New Roman" w:cs="Times New Roman"/>
              </w:rPr>
            </w:pPr>
            <w:r w:rsidRPr="00D0412E">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D0412E" w:rsidRDefault="00BC6682" w:rsidP="00576892">
            <w:pPr>
              <w:spacing w:before="240"/>
              <w:rPr>
                <w:rFonts w:ascii="Times New Roman" w:hAnsi="Times New Roman" w:cs="Times New Roman"/>
              </w:rPr>
            </w:pPr>
            <w:r w:rsidRPr="00D0412E">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482EBA03" w:rsidR="00852B20" w:rsidRPr="005E19AD" w:rsidRDefault="00003284" w:rsidP="00576892">
            <w:pPr>
              <w:spacing w:before="240"/>
              <w:rPr>
                <w:rFonts w:ascii="Times New Roman" w:hAnsi="Times New Roman" w:cs="Times New Roman"/>
              </w:rPr>
            </w:pPr>
            <w:r>
              <w:t xml:space="preserve">Springer </w:t>
            </w:r>
            <w:r w:rsidR="00D0412E">
              <w:t>Cham</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5C4B9ED" w:rsidR="00852B20" w:rsidRPr="005E19AD" w:rsidRDefault="00003284" w:rsidP="00576892">
            <w:pPr>
              <w:spacing w:before="240"/>
              <w:rPr>
                <w:rFonts w:ascii="Times New Roman" w:hAnsi="Times New Roman" w:cs="Times New Roman"/>
              </w:rPr>
            </w:pPr>
            <w:r>
              <w:rPr>
                <w:rFonts w:ascii="Times New Roman" w:hAnsi="Times New Roman" w:cs="Times New Roman"/>
              </w:rPr>
              <w:t>March 31</w:t>
            </w:r>
            <w:r w:rsidR="00BC6682" w:rsidRPr="00BC6682">
              <w:rPr>
                <w:rFonts w:ascii="Times New Roman" w:hAnsi="Times New Roman" w:cs="Times New Roman"/>
              </w:rPr>
              <w:t>, 202</w:t>
            </w:r>
            <w:r>
              <w:rPr>
                <w:rFonts w:ascii="Times New Roman" w:hAnsi="Times New Roman" w:cs="Times New Roman"/>
              </w:rPr>
              <w:t>3</w:t>
            </w:r>
          </w:p>
        </w:tc>
      </w:tr>
      <w:tr w:rsidR="00D0412E" w:rsidRPr="00D0412E" w14:paraId="04C32390" w14:textId="77777777" w:rsidTr="000D68B9">
        <w:tc>
          <w:tcPr>
            <w:tcW w:w="1011" w:type="pct"/>
            <w:vAlign w:val="center"/>
          </w:tcPr>
          <w:p w14:paraId="13D6FAC3" w14:textId="5AF2FAC3" w:rsidR="00852B20" w:rsidRPr="00D0412E" w:rsidRDefault="00852B20" w:rsidP="00576892">
            <w:pPr>
              <w:spacing w:before="240"/>
              <w:rPr>
                <w:rFonts w:ascii="Times New Roman" w:hAnsi="Times New Roman" w:cs="Times New Roman"/>
              </w:rPr>
            </w:pPr>
            <w:r w:rsidRPr="00D0412E">
              <w:rPr>
                <w:rFonts w:ascii="Times New Roman" w:hAnsi="Times New Roman" w:cs="Times New Roman"/>
              </w:rPr>
              <w:t>IS</w:t>
            </w:r>
            <w:r w:rsidR="00D0412E" w:rsidRPr="00D0412E">
              <w:rPr>
                <w:rFonts w:ascii="Times New Roman" w:hAnsi="Times New Roman" w:cs="Times New Roman"/>
              </w:rPr>
              <w:t>B</w:t>
            </w:r>
            <w:r w:rsidRPr="00D0412E">
              <w:rPr>
                <w:rFonts w:ascii="Times New Roman" w:hAnsi="Times New Roman" w:cs="Times New Roman"/>
              </w:rPr>
              <w:t>N</w:t>
            </w:r>
          </w:p>
        </w:tc>
        <w:tc>
          <w:tcPr>
            <w:tcW w:w="3989" w:type="pct"/>
            <w:gridSpan w:val="3"/>
            <w:tcBorders>
              <w:bottom w:val="single" w:sz="4" w:space="0" w:color="auto"/>
            </w:tcBorders>
            <w:vAlign w:val="bottom"/>
          </w:tcPr>
          <w:p w14:paraId="395ECBF4" w14:textId="2EE3BEA0" w:rsidR="00852B20" w:rsidRPr="00D0412E" w:rsidRDefault="00D0412E" w:rsidP="00576892">
            <w:pPr>
              <w:spacing w:before="240"/>
              <w:rPr>
                <w:rFonts w:ascii="Times New Roman" w:hAnsi="Times New Roman" w:cs="Times New Roman"/>
              </w:rPr>
            </w:pPr>
            <w:r w:rsidRPr="00D0412E">
              <w:rPr>
                <w:rFonts w:ascii="Segoe UI" w:hAnsi="Segoe UI" w:cs="Segoe UI"/>
                <w:shd w:val="clear" w:color="auto" w:fill="FFFFFF"/>
              </w:rPr>
              <w:t>978-3-031-23401-9</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64CF76C" w:rsidR="00852B20" w:rsidRPr="00C333A6" w:rsidRDefault="00E61C6D" w:rsidP="00C333A6">
            <w:pPr>
              <w:spacing w:before="240"/>
              <w:rPr>
                <w:rFonts w:ascii="Times New Roman" w:hAnsi="Times New Roman" w:cs="Times New Roman"/>
              </w:rPr>
            </w:pPr>
            <w:r>
              <w:rPr>
                <w:rFonts w:ascii="Segoe UI" w:hAnsi="Segoe UI" w:cs="Segoe UI"/>
                <w:color w:val="333333"/>
                <w:shd w:val="clear" w:color="auto" w:fill="FCFCFC"/>
              </w:rPr>
              <w:t>https://doi.org/10.1007/978-3-031-23401-9_7</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68724CF" w:rsidR="00C9238F" w:rsidRPr="005E19AD" w:rsidRDefault="00003284" w:rsidP="00576892">
            <w:pPr>
              <w:spacing w:before="240"/>
              <w:rPr>
                <w:rFonts w:ascii="Times New Roman" w:hAnsi="Times New Roman" w:cs="Times New Roman"/>
              </w:rPr>
            </w:pPr>
            <w:r w:rsidRPr="00003284">
              <w:t>https://link.springer.com/chapter/10.1007/978-3-03</w:t>
            </w:r>
            <w:r w:rsidR="007E4956">
              <w:rPr>
                <w:rFonts w:ascii="Times New Roman" w:hAnsi="Times New Roman" w:cs="Times New Roman"/>
              </w:rPr>
              <w:t xml:space="preserve"> </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3B1A94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E61C6D">
              <w:rPr>
                <w:rFonts w:ascii="Times New Roman" w:hAnsi="Times New Roman" w:cs="Times New Roman"/>
              </w:rPr>
              <w:t>93</w:t>
            </w:r>
            <w:r w:rsidRPr="00110BAB">
              <w:rPr>
                <w:rFonts w:ascii="Times New Roman" w:hAnsi="Times New Roman" w:cs="Times New Roman"/>
              </w:rPr>
              <w:t xml:space="preserve"> </w:t>
            </w:r>
            <w:r w:rsidR="00003284">
              <w:rPr>
                <w:rFonts w:ascii="Times New Roman" w:hAnsi="Times New Roman" w:cs="Times New Roman"/>
              </w:rPr>
              <w:t>–</w:t>
            </w:r>
            <w:r w:rsidRPr="00110BAB">
              <w:rPr>
                <w:rFonts w:ascii="Times New Roman" w:hAnsi="Times New Roman" w:cs="Times New Roman"/>
              </w:rPr>
              <w:t xml:space="preserve"> </w:t>
            </w:r>
            <w:r w:rsidR="00E61C6D">
              <w:rPr>
                <w:rFonts w:ascii="Times New Roman" w:hAnsi="Times New Roman" w:cs="Times New Roman"/>
              </w:rPr>
              <w:t>214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24302D87" w:rsidR="00852B20" w:rsidRPr="005E19AD" w:rsidRDefault="00003284" w:rsidP="00003284">
            <w:pPr>
              <w:jc w:val="both"/>
              <w:rPr>
                <w:rFonts w:ascii="Times New Roman" w:hAnsi="Times New Roman" w:cs="Times New Roman"/>
              </w:rPr>
            </w:pPr>
            <w:r>
              <w:rPr>
                <w:rFonts w:ascii="Segoe UI" w:hAnsi="Segoe UI" w:cs="Segoe UI"/>
                <w:color w:val="333333"/>
                <w:sz w:val="27"/>
                <w:szCs w:val="27"/>
                <w:shd w:val="clear" w:color="auto" w:fill="FCFCFC"/>
              </w:rPr>
              <w:t>Hybrid materials play a key role in enhancing the electrochemical properties of electrode materials for lithium-ion and lithium-sulfur batteries. Porous hybrid materials offer high surface area and high conductivity. Moreover, they can store high energy with their large active site. In this chapter, we discussed the highly efficient porous electrode materials (cathode and anode) for the development of the practically used rechargeable lithium-ion and lithium-sulfur batteries. This chapter will open windows for designing next-generation energy storage.</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D4C8D" w14:textId="77777777" w:rsidR="00E81713" w:rsidRDefault="00E81713" w:rsidP="00C9238F">
      <w:pPr>
        <w:spacing w:after="0" w:line="240" w:lineRule="auto"/>
      </w:pPr>
      <w:r>
        <w:separator/>
      </w:r>
    </w:p>
  </w:endnote>
  <w:endnote w:type="continuationSeparator" w:id="0">
    <w:p w14:paraId="5A50FF08" w14:textId="77777777" w:rsidR="00E81713" w:rsidRDefault="00E8171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100A85E-C327-4C2F-8B03-DFFD23D48E30}"/>
    <w:embedBold r:id="rId2" w:fontKey="{EB6A0579-7CC0-4C57-84A7-86B5ED4B5C8E}"/>
    <w:embedItalic r:id="rId3" w:fontKey="{8BB6159A-BD1A-4379-8607-A27E3A63EAD5}"/>
    <w:embedBoldItalic r:id="rId4" w:fontKey="{1ADF779D-3C46-401C-AFB9-3E78EDFAC29B}"/>
  </w:font>
  <w:font w:name="Corbel">
    <w:panose1 w:val="020B0503020204020204"/>
    <w:charset w:val="00"/>
    <w:family w:val="swiss"/>
    <w:pitch w:val="variable"/>
    <w:sig w:usb0="A00002EF" w:usb1="4000A44B" w:usb2="00000000" w:usb3="00000000" w:csb0="0000019F" w:csb1="00000000"/>
    <w:embedRegular r:id="rId5" w:fontKey="{135CC352-E0A6-46D5-894E-8FCCC4BF4EEF}"/>
    <w:embedBold r:id="rId6" w:fontKey="{F96FAD4E-685B-4AE7-82CA-E9051B062132}"/>
    <w:embedItalic r:id="rId7" w:fontKey="{0419D878-19D2-41BE-BFC3-40BFD3BBBA7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98EADF32-E643-4BE4-8026-A8EC8D7F2D85}"/>
  </w:font>
  <w:font w:name="Segoe UI">
    <w:panose1 w:val="020B0502040204020203"/>
    <w:charset w:val="00"/>
    <w:family w:val="swiss"/>
    <w:pitch w:val="variable"/>
    <w:sig w:usb0="E4002EFF" w:usb1="C000E47F" w:usb2="00000009" w:usb3="00000000" w:csb0="000001FF" w:csb1="00000000"/>
    <w:embedRegular r:id="rId9" w:fontKey="{9746B617-B1AB-4188-A3F2-EE782F87DD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035B2" w14:textId="77777777" w:rsidR="00E81713" w:rsidRDefault="00E81713" w:rsidP="00C9238F">
      <w:pPr>
        <w:spacing w:after="0" w:line="240" w:lineRule="auto"/>
      </w:pPr>
      <w:r>
        <w:separator/>
      </w:r>
    </w:p>
  </w:footnote>
  <w:footnote w:type="continuationSeparator" w:id="0">
    <w:p w14:paraId="7BD454C5" w14:textId="77777777" w:rsidR="00E81713" w:rsidRDefault="00E8171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53575888">
    <w:abstractNumId w:val="12"/>
  </w:num>
  <w:num w:numId="2" w16cid:durableId="106773985">
    <w:abstractNumId w:val="8"/>
  </w:num>
  <w:num w:numId="3" w16cid:durableId="1661349858">
    <w:abstractNumId w:val="16"/>
  </w:num>
  <w:num w:numId="4" w16cid:durableId="295649048">
    <w:abstractNumId w:val="13"/>
  </w:num>
  <w:num w:numId="5" w16cid:durableId="41099927">
    <w:abstractNumId w:val="14"/>
  </w:num>
  <w:num w:numId="6" w16cid:durableId="2037079026">
    <w:abstractNumId w:val="20"/>
  </w:num>
  <w:num w:numId="7" w16cid:durableId="1629362454">
    <w:abstractNumId w:val="7"/>
  </w:num>
  <w:num w:numId="8" w16cid:durableId="1001353652">
    <w:abstractNumId w:val="11"/>
  </w:num>
  <w:num w:numId="9" w16cid:durableId="1452551365">
    <w:abstractNumId w:val="18"/>
  </w:num>
  <w:num w:numId="10" w16cid:durableId="891038645">
    <w:abstractNumId w:val="2"/>
  </w:num>
  <w:num w:numId="11" w16cid:durableId="1952399000">
    <w:abstractNumId w:val="6"/>
  </w:num>
  <w:num w:numId="12" w16cid:durableId="1592466187">
    <w:abstractNumId w:val="1"/>
  </w:num>
  <w:num w:numId="13" w16cid:durableId="1476727455">
    <w:abstractNumId w:val="3"/>
  </w:num>
  <w:num w:numId="14" w16cid:durableId="1129593314">
    <w:abstractNumId w:val="10"/>
  </w:num>
  <w:num w:numId="15" w16cid:durableId="934358930">
    <w:abstractNumId w:val="9"/>
  </w:num>
  <w:num w:numId="16" w16cid:durableId="1482387196">
    <w:abstractNumId w:val="17"/>
  </w:num>
  <w:num w:numId="17" w16cid:durableId="878475972">
    <w:abstractNumId w:val="4"/>
  </w:num>
  <w:num w:numId="18" w16cid:durableId="309867626">
    <w:abstractNumId w:val="22"/>
  </w:num>
  <w:num w:numId="19" w16cid:durableId="1717922779">
    <w:abstractNumId w:val="19"/>
  </w:num>
  <w:num w:numId="20" w16cid:durableId="256211467">
    <w:abstractNumId w:val="15"/>
  </w:num>
  <w:num w:numId="21" w16cid:durableId="1063025647">
    <w:abstractNumId w:val="21"/>
  </w:num>
  <w:num w:numId="22" w16cid:durableId="2090149272">
    <w:abstractNumId w:val="5"/>
  </w:num>
  <w:num w:numId="23" w16cid:durableId="179826164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3284"/>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B27D8"/>
    <w:rsid w:val="009D0758"/>
    <w:rsid w:val="009F619A"/>
    <w:rsid w:val="009F6DDE"/>
    <w:rsid w:val="009F77CA"/>
    <w:rsid w:val="00A1613A"/>
    <w:rsid w:val="00A370A8"/>
    <w:rsid w:val="00A82A33"/>
    <w:rsid w:val="00AF6BFE"/>
    <w:rsid w:val="00BB1A77"/>
    <w:rsid w:val="00BC6682"/>
    <w:rsid w:val="00BD4753"/>
    <w:rsid w:val="00BD5CB1"/>
    <w:rsid w:val="00BE62EE"/>
    <w:rsid w:val="00C003BA"/>
    <w:rsid w:val="00C23E9F"/>
    <w:rsid w:val="00C26236"/>
    <w:rsid w:val="00C333A6"/>
    <w:rsid w:val="00C46878"/>
    <w:rsid w:val="00C9238F"/>
    <w:rsid w:val="00C96307"/>
    <w:rsid w:val="00CB4A51"/>
    <w:rsid w:val="00CD4532"/>
    <w:rsid w:val="00CD47B0"/>
    <w:rsid w:val="00CE6104"/>
    <w:rsid w:val="00CE7918"/>
    <w:rsid w:val="00D03AC6"/>
    <w:rsid w:val="00D0412E"/>
    <w:rsid w:val="00D16163"/>
    <w:rsid w:val="00D31E76"/>
    <w:rsid w:val="00DB3FAD"/>
    <w:rsid w:val="00E61C09"/>
    <w:rsid w:val="00E61C6D"/>
    <w:rsid w:val="00E81713"/>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2021-10-17T04:45:00Z</dcterms:created>
  <dcterms:modified xsi:type="dcterms:W3CDTF">2023-11-05T04:18:00Z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