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3128"/>
        <w:gridCol w:w="1565"/>
        <w:gridCol w:w="2947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72B250A" w:rsidR="00C9238F" w:rsidRPr="001176C1" w:rsidRDefault="001176C1" w:rsidP="002E28D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1176C1">
              <w:rPr>
                <w:rFonts w:ascii="Times New Roman" w:hAnsi="Times New Roman" w:cs="Times New Roman"/>
                <w:szCs w:val="30"/>
              </w:rPr>
              <w:t>Heatline</w:t>
            </w:r>
            <w:proofErr w:type="spellEnd"/>
            <w:r w:rsidRPr="001176C1">
              <w:rPr>
                <w:rFonts w:ascii="Times New Roman" w:hAnsi="Times New Roman" w:cs="Times New Roman"/>
                <w:szCs w:val="30"/>
              </w:rPr>
              <w:t xml:space="preserve"> analysis for mixed convection flow of </w:t>
            </w:r>
            <w:proofErr w:type="spellStart"/>
            <w:r w:rsidRPr="001176C1">
              <w:rPr>
                <w:rFonts w:ascii="Times New Roman" w:hAnsi="Times New Roman" w:cs="Times New Roman"/>
                <w:szCs w:val="30"/>
              </w:rPr>
              <w:t>nanofluid</w:t>
            </w:r>
            <w:proofErr w:type="spellEnd"/>
            <w:r w:rsidRPr="001176C1">
              <w:rPr>
                <w:rFonts w:ascii="Times New Roman" w:hAnsi="Times New Roman" w:cs="Times New Roman"/>
                <w:szCs w:val="30"/>
              </w:rPr>
              <w:t xml:space="preserve"> in a two sided lid-driven cavity with a heat generating block: effect of Reynolds number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E1B3F3" w:rsidR="00C9238F" w:rsidRPr="001176C1" w:rsidRDefault="001176C1" w:rsidP="002E28D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  <w:szCs w:val="30"/>
              </w:rPr>
              <w:t xml:space="preserve">Ayesha </w:t>
            </w:r>
            <w:proofErr w:type="spellStart"/>
            <w:r w:rsidRPr="001176C1">
              <w:rPr>
                <w:rFonts w:ascii="Times New Roman" w:hAnsi="Times New Roman" w:cs="Times New Roman"/>
                <w:szCs w:val="30"/>
              </w:rPr>
              <w:t>Siddiqua</w:t>
            </w:r>
            <w:proofErr w:type="spellEnd"/>
            <w:r w:rsidRPr="001176C1">
              <w:rPr>
                <w:rFonts w:ascii="Times New Roman" w:hAnsi="Times New Roman" w:cs="Times New Roman"/>
                <w:szCs w:val="30"/>
              </w:rPr>
              <w:t xml:space="preserve"> and Salma </w:t>
            </w:r>
            <w:proofErr w:type="spellStart"/>
            <w:r w:rsidRPr="001176C1">
              <w:rPr>
                <w:rFonts w:ascii="Times New Roman" w:hAnsi="Times New Roman" w:cs="Times New Roman"/>
                <w:szCs w:val="30"/>
              </w:rPr>
              <w:t>Parvin</w:t>
            </w:r>
            <w:proofErr w:type="spellEnd"/>
            <w:r w:rsidRPr="001176C1">
              <w:rPr>
                <w:rFonts w:ascii="Times New Roman" w:hAnsi="Times New Roman" w:cs="Times New Roman"/>
                <w:szCs w:val="30"/>
              </w:rPr>
              <w:t>,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D84393" w:rsidR="00C9238F" w:rsidRPr="001176C1" w:rsidRDefault="002E28D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</w:rPr>
              <w:t>ayesha.siddiqua@aiub.edu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C2D6BF1" w:rsidR="00C9238F" w:rsidRPr="001176C1" w:rsidRDefault="001176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  <w:szCs w:val="30"/>
              </w:rPr>
              <w:t>AIP Conference Proceedings 2121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3F437D0" w:rsidR="00010104" w:rsidRPr="001176C1" w:rsidRDefault="001176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  <w:szCs w:val="30"/>
              </w:rPr>
              <w:t>Conference Proceedings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050E080" w:rsidR="00576892" w:rsidRPr="001176C1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1176C1" w:rsidRDefault="00010104" w:rsidP="00576892">
            <w:pPr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9C13B62" w:rsidR="00576892" w:rsidRPr="001176C1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1D673DF" w:rsidR="00852B20" w:rsidRPr="001176C1" w:rsidRDefault="001176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</w:rPr>
              <w:t>AIP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E0C1192" w:rsidR="00852B20" w:rsidRPr="001176C1" w:rsidRDefault="001176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</w:rPr>
              <w:t>18 July 2019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9F03214" w:rsidR="00852B20" w:rsidRPr="001176C1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7091322" w:rsidR="00852B20" w:rsidRPr="00785398" w:rsidRDefault="001176C1" w:rsidP="00785398"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hyperlink r:id="rId12" w:history="1">
              <w:r>
                <w:rPr>
                  <w:rStyle w:val="Hyperlink"/>
                  <w:rFonts w:ascii="Times New Roman" w:hAnsi="Times New Roman" w:cs="Times New Roman"/>
                  <w:szCs w:val="30"/>
                </w:rPr>
                <w:t>https://doi.org/10.1063/1.5115917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2731DA6" w:rsidR="00C9238F" w:rsidRPr="005E19AD" w:rsidRDefault="001176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76C1">
              <w:rPr>
                <w:rFonts w:ascii="Times New Roman" w:hAnsi="Times New Roman" w:cs="Times New Roman"/>
              </w:rPr>
              <w:t>https://aip.scitation.org/doi/abs/10.1063/1.5115917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57C982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1176C1">
        <w:trPr>
          <w:trHeight w:val="89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E4CF85A" w14:textId="77777777" w:rsidR="001176C1" w:rsidRPr="001176C1" w:rsidRDefault="001176C1" w:rsidP="001176C1">
            <w:pPr>
              <w:pStyle w:val="ListParagraph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Mixed convective flow and heat transfer characteristics of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nanofluid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inside a double lid driven cavity with a square heat generating block is analyzed numerically based on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heatline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approach. The upper and lower lids of the cavity are kept adiabatic and are moving in opposite direction while the other two boundaries are kept fixed at uniform temperature </w:t>
            </w:r>
            <w:r w:rsidRPr="001176C1"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  <w:t>T</w:t>
            </w:r>
            <w:r w:rsidRPr="001176C1"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  <w:vertAlign w:val="subscript"/>
              </w:rPr>
              <w:t>c</w:t>
            </w:r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. The water-alumina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nanofluid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is chosen as the operational fluid through the enclosure. The governing differential equations with proper boundary conditions are solved by Finite Element Method using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Galerkin’s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weighted residual scheme. Calculations are performed for different Reynolds number such as 20, 50, 100 and 150. Results are shown in terms of stream lines, isothermal lines,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heatlines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, average </w:t>
            </w:r>
            <w:proofErr w:type="spellStart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>Nusselt</w:t>
            </w:r>
            <w:proofErr w:type="spellEnd"/>
            <w:r w:rsidRPr="001176C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number and average temperature. An enhancement in heat transfer rate is observed with the variation of Reynolds number.</w:t>
            </w:r>
          </w:p>
          <w:p w14:paraId="0A8821D2" w14:textId="59E0538F" w:rsidR="00852B20" w:rsidRPr="005E19AD" w:rsidRDefault="001176C1" w:rsidP="001176C1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 xml:space="preserve"> 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A3BBA" w14:textId="77777777" w:rsidR="00211BF0" w:rsidRDefault="00211BF0" w:rsidP="00C9238F">
      <w:pPr>
        <w:spacing w:after="0" w:line="240" w:lineRule="auto"/>
      </w:pPr>
      <w:r>
        <w:separator/>
      </w:r>
    </w:p>
  </w:endnote>
  <w:endnote w:type="continuationSeparator" w:id="0">
    <w:p w14:paraId="50972870" w14:textId="77777777" w:rsidR="00211BF0" w:rsidRDefault="00211BF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BDDC7E-CF11-4D10-A6A7-2E8553950DFB}"/>
    <w:embedBold r:id="rId2" w:fontKey="{0B1694BE-3832-475A-BA2F-A7A45D1132B8}"/>
    <w:embedItalic r:id="rId3" w:fontKey="{70845A2E-223D-4DA6-B1C8-343D372EF19E}"/>
    <w:embedBoldItalic r:id="rId4" w:fontKey="{DC5628C1-7B9A-48D5-9756-DCCD01D7A62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5EBC4E7-2E53-456F-88A1-EEA0EB91C9B1}"/>
    <w:embedBold r:id="rId6" w:fontKey="{74E5ED04-562A-409B-8405-8C5DE1C7C740}"/>
    <w:embedItalic r:id="rId7" w:fontKey="{A20B5D6B-32FD-4132-A867-7138A7D1F32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F36785F-9880-4F30-93D1-05A92ABB87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5FEAF56-A1B6-4AFD-8AF8-C98A500FBE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176C1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176C1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4B2C2" w14:textId="77777777" w:rsidR="00211BF0" w:rsidRDefault="00211BF0" w:rsidP="00C9238F">
      <w:pPr>
        <w:spacing w:after="0" w:line="240" w:lineRule="auto"/>
      </w:pPr>
      <w:r>
        <w:separator/>
      </w:r>
    </w:p>
  </w:footnote>
  <w:footnote w:type="continuationSeparator" w:id="0">
    <w:p w14:paraId="443BB11E" w14:textId="77777777" w:rsidR="00211BF0" w:rsidRDefault="00211BF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1ED5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176C1"/>
    <w:rsid w:val="001727CA"/>
    <w:rsid w:val="001F5CF8"/>
    <w:rsid w:val="00211BF0"/>
    <w:rsid w:val="002C56E6"/>
    <w:rsid w:val="002D3238"/>
    <w:rsid w:val="002E28D0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0B25"/>
    <w:rsid w:val="005F2035"/>
    <w:rsid w:val="005F7990"/>
    <w:rsid w:val="0063739C"/>
    <w:rsid w:val="006510B6"/>
    <w:rsid w:val="00770F25"/>
    <w:rsid w:val="00774C74"/>
    <w:rsid w:val="00785398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8D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5398"/>
    <w:rPr>
      <w:b/>
      <w:bCs/>
    </w:rPr>
  </w:style>
  <w:style w:type="paragraph" w:styleId="ListParagraph">
    <w:name w:val="List Paragraph"/>
    <w:basedOn w:val="Normal"/>
    <w:uiPriority w:val="34"/>
    <w:qFormat/>
    <w:rsid w:val="001176C1"/>
    <w:pPr>
      <w:spacing w:line="276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8D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5398"/>
    <w:rPr>
      <w:b/>
      <w:bCs/>
    </w:rPr>
  </w:style>
  <w:style w:type="paragraph" w:styleId="ListParagraph">
    <w:name w:val="List Paragraph"/>
    <w:basedOn w:val="Normal"/>
    <w:uiPriority w:val="34"/>
    <w:qFormat/>
    <w:rsid w:val="001176C1"/>
    <w:pPr>
      <w:spacing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doi.org/10.1063/1.5115917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E96A64E-0A38-4E40-A786-E19B741D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2021-10-26T06:24:00Z</dcterms:created>
  <dcterms:modified xsi:type="dcterms:W3CDTF">2021-10-26T06:24:00Z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