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C64BD9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C64BD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7298D52" w:rsidR="00C9238F" w:rsidRPr="00C64BD9" w:rsidRDefault="00C64B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A new rechargeable battery based on a zinc anode and a NaV</w:t>
            </w:r>
            <w:r w:rsidRPr="008E2263">
              <w:rPr>
                <w:rFonts w:ascii="Times New Roman" w:hAnsi="Times New Roman" w:cs="Times New Roman"/>
                <w:vertAlign w:val="subscript"/>
              </w:rPr>
              <w:t>6</w:t>
            </w:r>
            <w:r w:rsidRPr="00C64BD9">
              <w:rPr>
                <w:rFonts w:ascii="Times New Roman" w:hAnsi="Times New Roman" w:cs="Times New Roman"/>
              </w:rPr>
              <w:t>O</w:t>
            </w:r>
            <w:r w:rsidRPr="008E2263">
              <w:rPr>
                <w:rFonts w:ascii="Times New Roman" w:hAnsi="Times New Roman" w:cs="Times New Roman"/>
                <w:vertAlign w:val="subscript"/>
              </w:rPr>
              <w:t>15</w:t>
            </w:r>
            <w:r w:rsidRPr="00C64BD9">
              <w:rPr>
                <w:rFonts w:ascii="Times New Roman" w:hAnsi="Times New Roman" w:cs="Times New Roman"/>
              </w:rPr>
              <w:t xml:space="preserve"> nanorod cathode</w:t>
            </w:r>
          </w:p>
        </w:tc>
      </w:tr>
      <w:tr w:rsidR="00C9238F" w:rsidRPr="00C64BD9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C64BD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2037487" w:rsidR="00C9238F" w:rsidRPr="00C64BD9" w:rsidRDefault="00C64BD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 xml:space="preserve">Saiful Islam, Muhammad </w:t>
            </w:r>
            <w:proofErr w:type="spellStart"/>
            <w:r w:rsidRPr="00C64BD9">
              <w:rPr>
                <w:rFonts w:ascii="Times New Roman" w:hAnsi="Times New Roman" w:cs="Times New Roman"/>
              </w:rPr>
              <w:t>Hilmy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4BD9">
              <w:rPr>
                <w:rFonts w:ascii="Times New Roman" w:hAnsi="Times New Roman" w:cs="Times New Roman"/>
              </w:rPr>
              <w:t>Alfaruqi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, Balaji </w:t>
            </w:r>
            <w:proofErr w:type="spellStart"/>
            <w:r w:rsidRPr="00C64BD9">
              <w:rPr>
                <w:rFonts w:ascii="Times New Roman" w:hAnsi="Times New Roman" w:cs="Times New Roman"/>
              </w:rPr>
              <w:t>Sambandam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, Dimas </w:t>
            </w:r>
            <w:proofErr w:type="spellStart"/>
            <w:r w:rsidRPr="00C64BD9">
              <w:rPr>
                <w:rFonts w:ascii="Times New Roman" w:hAnsi="Times New Roman" w:cs="Times New Roman"/>
              </w:rPr>
              <w:t>Yunianto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4BD9">
              <w:rPr>
                <w:rFonts w:ascii="Times New Roman" w:hAnsi="Times New Roman" w:cs="Times New Roman"/>
              </w:rPr>
              <w:t>Putro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64BD9">
              <w:rPr>
                <w:rFonts w:ascii="Times New Roman" w:hAnsi="Times New Roman" w:cs="Times New Roman"/>
              </w:rPr>
              <w:t>Sungjin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 Kim, </w:t>
            </w:r>
            <w:proofErr w:type="spellStart"/>
            <w:r w:rsidRPr="00C64BD9">
              <w:rPr>
                <w:rFonts w:ascii="Times New Roman" w:hAnsi="Times New Roman" w:cs="Times New Roman"/>
              </w:rPr>
              <w:t>Jeonggeun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 Jo, </w:t>
            </w:r>
            <w:proofErr w:type="spellStart"/>
            <w:r w:rsidRPr="00C64BD9">
              <w:rPr>
                <w:rFonts w:ascii="Times New Roman" w:hAnsi="Times New Roman" w:cs="Times New Roman"/>
              </w:rPr>
              <w:t>Seokhun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 Kim, Vinod Mathew and </w:t>
            </w:r>
            <w:proofErr w:type="spellStart"/>
            <w:r w:rsidRPr="00C64BD9">
              <w:rPr>
                <w:rFonts w:ascii="Times New Roman" w:hAnsi="Times New Roman" w:cs="Times New Roman"/>
              </w:rPr>
              <w:t>Jaekook</w:t>
            </w:r>
            <w:proofErr w:type="spellEnd"/>
            <w:r w:rsidRPr="00C64BD9">
              <w:rPr>
                <w:rFonts w:ascii="Times New Roman" w:hAnsi="Times New Roman" w:cs="Times New Roman"/>
              </w:rPr>
              <w:t xml:space="preserve"> Kim. </w:t>
            </w:r>
          </w:p>
        </w:tc>
      </w:tr>
      <w:tr w:rsidR="00C64BD9" w:rsidRPr="00C64BD9" w14:paraId="1694AB7A" w14:textId="77777777" w:rsidTr="000D68B9">
        <w:tc>
          <w:tcPr>
            <w:tcW w:w="1011" w:type="pct"/>
            <w:vAlign w:val="center"/>
          </w:tcPr>
          <w:p w14:paraId="1FB726A9" w14:textId="0A6884DA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870BE0E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64BD9" w:rsidRPr="00C64BD9" w14:paraId="3A03CA46" w14:textId="77777777" w:rsidTr="000D68B9">
        <w:tc>
          <w:tcPr>
            <w:tcW w:w="1011" w:type="pct"/>
            <w:vAlign w:val="center"/>
          </w:tcPr>
          <w:p w14:paraId="60832908" w14:textId="4F63C3E7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8B02EF9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Chemical Communications</w:t>
            </w:r>
          </w:p>
        </w:tc>
      </w:tr>
      <w:tr w:rsidR="00C64BD9" w:rsidRPr="00C64BD9" w14:paraId="29260EEE" w14:textId="77777777" w:rsidTr="000D68B9">
        <w:tc>
          <w:tcPr>
            <w:tcW w:w="1011" w:type="pct"/>
            <w:vAlign w:val="center"/>
          </w:tcPr>
          <w:p w14:paraId="6F11A6E8" w14:textId="522F2DD5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Journal</w:t>
            </w:r>
          </w:p>
        </w:tc>
      </w:tr>
      <w:tr w:rsidR="00C64BD9" w:rsidRPr="00C64BD9" w14:paraId="0198AB89" w14:textId="77777777" w:rsidTr="000D68B9">
        <w:tc>
          <w:tcPr>
            <w:tcW w:w="1011" w:type="pct"/>
            <w:vAlign w:val="center"/>
          </w:tcPr>
          <w:p w14:paraId="3E73A81C" w14:textId="713E0E75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415F407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17" w:type="pct"/>
            <w:vAlign w:val="bottom"/>
          </w:tcPr>
          <w:p w14:paraId="3CF73C17" w14:textId="63278ED5" w:rsidR="00C64BD9" w:rsidRPr="00C64BD9" w:rsidRDefault="00C64BD9" w:rsidP="00C64BD9">
            <w:pPr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2671BCF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26</w:t>
            </w:r>
          </w:p>
        </w:tc>
      </w:tr>
      <w:tr w:rsidR="00C64BD9" w:rsidRPr="00C64BD9" w14:paraId="29A11658" w14:textId="77777777" w:rsidTr="000D68B9">
        <w:tc>
          <w:tcPr>
            <w:tcW w:w="1011" w:type="pct"/>
            <w:vAlign w:val="center"/>
          </w:tcPr>
          <w:p w14:paraId="6B703DB8" w14:textId="37F97E2F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C64BD9" w:rsidRPr="00C64BD9" w14:paraId="0977BFEF" w14:textId="77777777" w:rsidTr="000D68B9">
        <w:tc>
          <w:tcPr>
            <w:tcW w:w="1011" w:type="pct"/>
            <w:vAlign w:val="center"/>
          </w:tcPr>
          <w:p w14:paraId="4291962E" w14:textId="03399576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77D5375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March 1, 2019</w:t>
            </w:r>
          </w:p>
        </w:tc>
      </w:tr>
      <w:tr w:rsidR="00C64BD9" w:rsidRPr="00C64BD9" w14:paraId="04C32390" w14:textId="77777777" w:rsidTr="000D68B9">
        <w:tc>
          <w:tcPr>
            <w:tcW w:w="1011" w:type="pct"/>
            <w:vAlign w:val="center"/>
          </w:tcPr>
          <w:p w14:paraId="13D6FAC3" w14:textId="7297330A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20590DF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1359-7345 (print) 1364-548X (web)</w:t>
            </w:r>
          </w:p>
        </w:tc>
      </w:tr>
      <w:tr w:rsidR="00C64BD9" w:rsidRPr="00C64BD9" w14:paraId="6125C715" w14:textId="77777777" w:rsidTr="000D68B9">
        <w:tc>
          <w:tcPr>
            <w:tcW w:w="1011" w:type="pct"/>
            <w:vAlign w:val="center"/>
          </w:tcPr>
          <w:p w14:paraId="41B57CC6" w14:textId="4F3F116A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3D4EA6F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https://doi.org/10.1039/C9CC00897G</w:t>
            </w:r>
          </w:p>
        </w:tc>
      </w:tr>
      <w:tr w:rsidR="00C64BD9" w:rsidRPr="00C64BD9" w14:paraId="16A1DAEC" w14:textId="77777777" w:rsidTr="000D68B9">
        <w:tc>
          <w:tcPr>
            <w:tcW w:w="1011" w:type="pct"/>
            <w:vAlign w:val="center"/>
          </w:tcPr>
          <w:p w14:paraId="58F94C75" w14:textId="7E5AE992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45457FE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hyperlink r:id="rId11" w:anchor="!divAbstract" w:history="1">
              <w:r w:rsidRPr="00C64BD9">
                <w:rPr>
                  <w:rStyle w:val="Hyperlink"/>
                  <w:rFonts w:ascii="Times New Roman" w:hAnsi="Times New Roman" w:cs="Times New Roman"/>
                </w:rPr>
                <w:t>A new rechargeable battery based on a zinc anode and a NaV6O15 nanorod cathode - Chemical Communications (RSC Publishing)</w:t>
              </w:r>
            </w:hyperlink>
          </w:p>
        </w:tc>
      </w:tr>
      <w:tr w:rsidR="00C64BD9" w:rsidRPr="00C64BD9" w14:paraId="204EC2C6" w14:textId="77777777" w:rsidTr="000D68B9">
        <w:tc>
          <w:tcPr>
            <w:tcW w:w="1011" w:type="pct"/>
            <w:vAlign w:val="center"/>
          </w:tcPr>
          <w:p w14:paraId="07EC2428" w14:textId="42CDFAAE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CADFC72" w:rsidR="00C64BD9" w:rsidRPr="00C64BD9" w:rsidRDefault="00C64BD9" w:rsidP="00C64BD9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t xml:space="preserve">Page </w:t>
            </w:r>
            <w:r w:rsidRPr="00C64BD9">
              <w:rPr>
                <w:rFonts w:ascii="Times New Roman" w:hAnsi="Times New Roman" w:cs="Times New Roman"/>
                <w:shd w:val="clear" w:color="auto" w:fill="FFFFFF"/>
              </w:rPr>
              <w:t>793-3796</w:t>
            </w:r>
          </w:p>
        </w:tc>
      </w:tr>
      <w:tr w:rsidR="00C64BD9" w:rsidRPr="00C64BD9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64BD9" w:rsidRPr="00C64BD9" w:rsidRDefault="00C64BD9" w:rsidP="00C64BD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C64BD9" w:rsidRDefault="00852B20">
      <w:pPr>
        <w:rPr>
          <w:rFonts w:ascii="Times New Roman" w:hAnsi="Times New Roman" w:cs="Times New Roman"/>
        </w:rPr>
      </w:pPr>
      <w:r w:rsidRPr="00C64BD9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C64BD9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C64BD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C64BD9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C64BD9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C64BD9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3AC389AD" w:rsidR="00852B20" w:rsidRPr="00C64BD9" w:rsidRDefault="00C64BD9" w:rsidP="000D0A38">
            <w:pPr>
              <w:jc w:val="both"/>
              <w:rPr>
                <w:rFonts w:ascii="Times New Roman" w:hAnsi="Times New Roman" w:cs="Times New Roman"/>
              </w:rPr>
            </w:pPr>
            <w:r w:rsidRPr="00C64BD9">
              <w:rPr>
                <w:rFonts w:ascii="Times New Roman" w:hAnsi="Times New Roman" w:cs="Times New Roman"/>
                <w:shd w:val="clear" w:color="auto" w:fill="FFFFFF"/>
              </w:rPr>
              <w:t>We explore NaV</w:t>
            </w:r>
            <w:r w:rsidRPr="00C64BD9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6</w:t>
            </w:r>
            <w:r w:rsidRPr="00C64BD9">
              <w:rPr>
                <w:rFonts w:ascii="Times New Roman" w:hAnsi="Times New Roman" w:cs="Times New Roman"/>
                <w:shd w:val="clear" w:color="auto" w:fill="FFFFFF"/>
              </w:rPr>
              <w:t>O</w:t>
            </w:r>
            <w:r w:rsidRPr="00C64BD9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15</w:t>
            </w:r>
            <w:r w:rsidRPr="00C64BD9">
              <w:rPr>
                <w:rFonts w:ascii="Times New Roman" w:hAnsi="Times New Roman" w:cs="Times New Roman"/>
                <w:shd w:val="clear" w:color="auto" w:fill="FFFFFF"/>
              </w:rPr>
              <w:t> (NVO) nanorod cathodes prepared by a sol–gel method for aqueous rechargeable zinc-ion battery applications for the first time. The NVO cathode delivers a high capacity of 427 mA h g</w:t>
            </w:r>
            <w:r w:rsidRPr="00C64BD9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r w:rsidRPr="00C64BD9">
              <w:rPr>
                <w:rFonts w:ascii="Times New Roman" w:hAnsi="Times New Roman" w:cs="Times New Roman"/>
                <w:shd w:val="clear" w:color="auto" w:fill="FFFFFF"/>
              </w:rPr>
              <w:t> at 50 mA g</w:t>
            </w:r>
            <w:r w:rsidRPr="00C64BD9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r w:rsidRPr="00C64BD9">
              <w:rPr>
                <w:rFonts w:ascii="Times New Roman" w:hAnsi="Times New Roman" w:cs="Times New Roman"/>
                <w:shd w:val="clear" w:color="auto" w:fill="FFFFFF"/>
              </w:rPr>
              <w:t xml:space="preserve"> current density. Furthermore, based on the mass of the active materials, it exhibits a high energy density of 337 W h </w:t>
            </w:r>
            <w:proofErr w:type="gramStart"/>
            <w:r w:rsidRPr="00C64BD9">
              <w:rPr>
                <w:rFonts w:ascii="Times New Roman" w:hAnsi="Times New Roman" w:cs="Times New Roman"/>
                <w:shd w:val="clear" w:color="auto" w:fill="FFFFFF"/>
              </w:rPr>
              <w:t>kg</w:t>
            </w:r>
            <w:r w:rsidRPr="00C64BD9">
              <w:rPr>
                <w:rFonts w:ascii="Times New Roman" w:hAnsi="Times New Roman" w:cs="Times New Roman"/>
                <w:shd w:val="clear" w:color="auto" w:fill="FFFFFF"/>
                <w:vertAlign w:val="superscript"/>
              </w:rPr>
              <w:t>−1</w:t>
            </w:r>
            <w:proofErr w:type="gramEnd"/>
            <w:r w:rsidRPr="00C64BD9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14:paraId="0A8821D2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C64BD9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C64BD9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C64BD9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0A9C2" w14:textId="77777777" w:rsidR="00FC0C67" w:rsidRDefault="00FC0C67" w:rsidP="00C9238F">
      <w:pPr>
        <w:spacing w:after="0" w:line="240" w:lineRule="auto"/>
      </w:pPr>
      <w:r>
        <w:separator/>
      </w:r>
    </w:p>
  </w:endnote>
  <w:endnote w:type="continuationSeparator" w:id="0">
    <w:p w14:paraId="1C5DECE8" w14:textId="77777777" w:rsidR="00FC0C67" w:rsidRDefault="00FC0C6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A1B57D-8F2E-4262-9AB7-CA4744874296}"/>
    <w:embedBold r:id="rId2" w:fontKey="{FDF57BD3-32E0-430A-9677-9DE5EB63DD02}"/>
    <w:embedItalic r:id="rId3" w:fontKey="{64537F5E-03C3-4CF0-99FD-551B4224B28F}"/>
    <w:embedBoldItalic r:id="rId4" w:fontKey="{E1A106E6-470C-446C-8E52-736A5A3D66F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8027160-6D62-4BF7-974E-21BC5E46F745}"/>
    <w:embedBold r:id="rId6" w:fontKey="{7D6D4F7A-73FE-45A7-902C-68A2875129DD}"/>
    <w:embedItalic r:id="rId7" w:fontKey="{E2A9E190-C118-4365-AACA-D03C1B6151D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12A165A-38DD-4D65-9161-8ECDA0665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74222" w14:textId="77777777" w:rsidR="00FC0C67" w:rsidRDefault="00FC0C67" w:rsidP="00C9238F">
      <w:pPr>
        <w:spacing w:after="0" w:line="240" w:lineRule="auto"/>
      </w:pPr>
      <w:r>
        <w:separator/>
      </w:r>
    </w:p>
  </w:footnote>
  <w:footnote w:type="continuationSeparator" w:id="0">
    <w:p w14:paraId="1E94FF82" w14:textId="77777777" w:rsidR="00FC0C67" w:rsidRDefault="00FC0C6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8E2263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64BD9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0C67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s.rsc.org/en/content/articlelanding/2019/cc/c9cc00897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