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10BA28D" w:rsidR="00C9238F" w:rsidRPr="004F2DAC" w:rsidRDefault="004F2DAC" w:rsidP="004F2DAC">
            <w:pPr>
              <w:pStyle w:val="Heading1"/>
              <w:shd w:val="clear" w:color="auto" w:fill="FFFFFF"/>
              <w:spacing w:before="0" w:after="75" w:line="360" w:lineRule="atLeast"/>
              <w:outlineLvl w:val="0"/>
              <w:rPr>
                <w:rFonts w:ascii="Times New Roman" w:hAnsi="Times New Roman" w:cs="Times New Roman"/>
                <w:b w:val="0"/>
                <w:bCs/>
                <w:color w:val="000000"/>
                <w:sz w:val="28"/>
              </w:rPr>
            </w:pPr>
            <w:r w:rsidRPr="004F2DAC">
              <w:rPr>
                <w:rStyle w:val="hlfld-title"/>
                <w:rFonts w:ascii="Times New Roman" w:hAnsi="Times New Roman" w:cs="Times New Roman"/>
                <w:b w:val="0"/>
                <w:bCs/>
                <w:color w:val="000000"/>
                <w:sz w:val="28"/>
              </w:rPr>
              <w:t>Manganese and Vanadium Oxide Cathodes for Aqueous Rechargeable Zinc-Ion Batteries: A Focused View on Performance, Mechanism, and Developments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67FCF65" w:rsidR="00C9238F" w:rsidRPr="005E19AD" w:rsidRDefault="004F2DAC" w:rsidP="005E19AD">
            <w:pPr>
              <w:spacing w:before="240"/>
              <w:rPr>
                <w:rFonts w:ascii="Times New Roman" w:hAnsi="Times New Roman" w:cs="Times New Roman"/>
              </w:rPr>
            </w:pPr>
            <w:r>
              <w:t xml:space="preserve">Vinod Mathew, Balaji </w:t>
            </w:r>
            <w:proofErr w:type="spellStart"/>
            <w:r>
              <w:t>Sambandam</w:t>
            </w:r>
            <w:proofErr w:type="spellEnd"/>
            <w:r>
              <w:t xml:space="preserve">, </w:t>
            </w:r>
            <w:proofErr w:type="spellStart"/>
            <w:r>
              <w:t>Seokhun</w:t>
            </w:r>
            <w:proofErr w:type="spellEnd"/>
            <w:r>
              <w:t xml:space="preserve"> Kim, </w:t>
            </w:r>
            <w:proofErr w:type="spellStart"/>
            <w:r>
              <w:t>Sungjin</w:t>
            </w:r>
            <w:proofErr w:type="spellEnd"/>
            <w:r>
              <w:t xml:space="preserve"> Kim, </w:t>
            </w:r>
            <w:proofErr w:type="spellStart"/>
            <w:r>
              <w:t>Sohyun</w:t>
            </w:r>
            <w:proofErr w:type="spellEnd"/>
            <w:r>
              <w:t xml:space="preserve"> Park, </w:t>
            </w:r>
            <w:proofErr w:type="spellStart"/>
            <w:r>
              <w:t>Seulgi</w:t>
            </w:r>
            <w:proofErr w:type="spellEnd"/>
            <w:r>
              <w:t xml:space="preserve"> Lee, Muhammad </w:t>
            </w:r>
            <w:proofErr w:type="spellStart"/>
            <w:r>
              <w:t>Hilmy</w:t>
            </w:r>
            <w:proofErr w:type="spellEnd"/>
            <w:r>
              <w:t xml:space="preserve"> </w:t>
            </w:r>
            <w:proofErr w:type="spellStart"/>
            <w:r>
              <w:t>Alfaruqi</w:t>
            </w:r>
            <w:proofErr w:type="spellEnd"/>
            <w:r>
              <w:t xml:space="preserve">, </w:t>
            </w:r>
            <w:proofErr w:type="spellStart"/>
            <w:r>
              <w:t>Vaiyapuri</w:t>
            </w:r>
            <w:proofErr w:type="spellEnd"/>
            <w:r>
              <w:t xml:space="preserve"> </w:t>
            </w:r>
            <w:proofErr w:type="spellStart"/>
            <w:r>
              <w:t>Soundhararajan</w:t>
            </w:r>
            <w:proofErr w:type="spellEnd"/>
            <w:r>
              <w:t xml:space="preserve">, Saiful Islam, Dimas </w:t>
            </w:r>
            <w:proofErr w:type="spellStart"/>
            <w:r>
              <w:t>Yunianto</w:t>
            </w:r>
            <w:proofErr w:type="spellEnd"/>
            <w:r>
              <w:t xml:space="preserve"> </w:t>
            </w:r>
            <w:proofErr w:type="spellStart"/>
            <w:r>
              <w:t>Putro</w:t>
            </w:r>
            <w:proofErr w:type="spellEnd"/>
            <w:r>
              <w:t xml:space="preserve">, Jang-Yeon Hwang, Yang-Kook Sun, and </w:t>
            </w:r>
            <w:proofErr w:type="spellStart"/>
            <w:r>
              <w:t>Jaekook</w:t>
            </w:r>
            <w:proofErr w:type="spellEnd"/>
            <w:r>
              <w:t xml:space="preserve"> Kim</w:t>
            </w:r>
          </w:p>
        </w:tc>
      </w:tr>
      <w:tr w:rsidR="004F2DAC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75AD222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9B60B2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4F2DAC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8CC8138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935FDA">
              <w:rPr>
                <w:rFonts w:ascii="Times New Roman" w:hAnsi="Times New Roman" w:cs="Times New Roman"/>
              </w:rPr>
              <w:t>CS</w:t>
            </w:r>
            <w:r>
              <w:rPr>
                <w:rFonts w:ascii="Times New Roman" w:hAnsi="Times New Roman" w:cs="Times New Roman"/>
              </w:rPr>
              <w:t xml:space="preserve"> Energy Letter</w:t>
            </w:r>
          </w:p>
        </w:tc>
      </w:tr>
      <w:tr w:rsidR="004F2DAC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4F2DAC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B7CE729" w:rsidR="004F2DAC" w:rsidRPr="005E19AD" w:rsidRDefault="00273D4B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4F2DAC" w:rsidRPr="005E19AD" w:rsidRDefault="004F2DAC" w:rsidP="004F2DAC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1BCF341" w:rsidR="004F2DAC" w:rsidRPr="005E19AD" w:rsidRDefault="00273D4B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4F2DAC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50A2B84" w:rsidR="004F2DAC" w:rsidRPr="005E19AD" w:rsidRDefault="00273D4B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ACS</w:t>
            </w:r>
          </w:p>
        </w:tc>
      </w:tr>
      <w:tr w:rsidR="004F2DAC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B099D6D" w:rsidR="004F2DAC" w:rsidRPr="005E19AD" w:rsidRDefault="00273D4B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 09</w:t>
            </w:r>
            <w:r w:rsidR="004F2DAC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4F2DAC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0D36896" w:rsidR="004F2DAC" w:rsidRPr="004F2DAC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4F2DAC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23808195</w:t>
            </w:r>
          </w:p>
        </w:tc>
      </w:tr>
      <w:tr w:rsidR="004F2DAC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A2FB0C1" w:rsidR="004F2DAC" w:rsidRPr="00C333A6" w:rsidRDefault="00273D4B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273D4B">
              <w:rPr>
                <w:rFonts w:ascii="Times New Roman" w:hAnsi="Times New Roman" w:cs="Times New Roman"/>
              </w:rPr>
              <w:t>https://doi.org/10.1021/acsenergylett.0c00740</w:t>
            </w:r>
          </w:p>
        </w:tc>
      </w:tr>
      <w:tr w:rsidR="004F2DAC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1F5015C" w:rsidR="004F2DAC" w:rsidRPr="005E19AD" w:rsidRDefault="002B3AD0" w:rsidP="004F2DAC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273D4B">
                <w:rPr>
                  <w:rStyle w:val="Hyperlink"/>
                </w:rPr>
                <w:t>Manganese and Vanadium Oxide Cathodes for Aqueous Rechargeable Zinc-Ion Batteries: A Focused View on Performance, Mechanism, and Developments | ACS Energy Letters</w:t>
              </w:r>
            </w:hyperlink>
          </w:p>
        </w:tc>
      </w:tr>
      <w:tr w:rsidR="004F2DAC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359F4DE" w:rsidR="004F2DAC" w:rsidRPr="005E19AD" w:rsidRDefault="004F2DAC" w:rsidP="004F2DAC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 1 - 7</w:t>
            </w:r>
            <w:r w:rsidR="00273D4B">
              <w:rPr>
                <w:rFonts w:ascii="Times New Roman" w:hAnsi="Times New Roman" w:cs="Times New Roman"/>
              </w:rPr>
              <w:t>0</w:t>
            </w:r>
          </w:p>
        </w:tc>
      </w:tr>
      <w:tr w:rsidR="004F2DAC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4F2DAC" w:rsidRPr="005E19AD" w:rsidRDefault="004F2DAC" w:rsidP="004F2DAC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554A48C4" w:rsidR="00852B20" w:rsidRPr="00273D4B" w:rsidRDefault="00273D4B" w:rsidP="00273D4B">
            <w:pPr>
              <w:jc w:val="both"/>
              <w:rPr>
                <w:rFonts w:ascii="Times New Roman" w:hAnsi="Times New Roman" w:cs="Times New Roman"/>
              </w:rPr>
            </w:pPr>
            <w:r w:rsidRPr="00273D4B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 xml:space="preserve">The development of new battery technologies requires them to be well-established given the competition from </w:t>
            </w:r>
            <w:proofErr w:type="gramStart"/>
            <w:r w:rsidRPr="00273D4B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lithium ion</w:t>
            </w:r>
            <w:proofErr w:type="gramEnd"/>
            <w:r w:rsidRPr="00273D4B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 xml:space="preserve"> batteries (LIBs), a well-commercialized technology, and the merits should surpass other available technologies’ characteristics for battery applications. Aqueous rechargeable zinc ion batteries (ARZIBs) represent a budding technology that can challenge LIBs with respect to electrochemical features because of the safety, </w:t>
            </w:r>
            <w:proofErr w:type="gramStart"/>
            <w:r w:rsidRPr="00273D4B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low cost, high energy</w:t>
            </w:r>
            <w:proofErr w:type="gramEnd"/>
            <w:r w:rsidRPr="00273D4B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 xml:space="preserve"> density, long cycle life, high-volume density, and stable water-compatible features of the metal zinc anode. Research on ARZIBs utilizing mild acidic electrolytes is focused on developing cathode materials with complete utilization of their electro-active materials. This progress is, however, hindered by persistent issues and consequences of divergent electrochemical mechanisms, unwanted side reactions, and unresolved proton insertion phenomena, thereby challenging ARZIB commercialization for large-scale energy storage applications. Herein, we broadly review two important cathodes, </w:t>
            </w:r>
            <w:proofErr w:type="gramStart"/>
            <w:r w:rsidRPr="00273D4B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>manganese</w:t>
            </w:r>
            <w:proofErr w:type="gramEnd"/>
            <w:r w:rsidRPr="00273D4B">
              <w:rPr>
                <w:rFonts w:ascii="Times New Roman" w:hAnsi="Times New Roman" w:cs="Times New Roman"/>
                <w:color w:val="000000"/>
                <w:shd w:val="clear" w:color="auto" w:fill="F4F4F4"/>
              </w:rPr>
              <w:t xml:space="preserve"> and vanadium oxides, that are witnessing rapid progress toward developing state-of-the-art ARZIB cathodes.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30D7" w14:textId="77777777" w:rsidR="002B3AD0" w:rsidRDefault="002B3AD0" w:rsidP="00C9238F">
      <w:pPr>
        <w:spacing w:after="0" w:line="240" w:lineRule="auto"/>
      </w:pPr>
      <w:r>
        <w:separator/>
      </w:r>
    </w:p>
  </w:endnote>
  <w:endnote w:type="continuationSeparator" w:id="0">
    <w:p w14:paraId="04EE2C96" w14:textId="77777777" w:rsidR="002B3AD0" w:rsidRDefault="002B3AD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4FB316-1154-4519-B1FD-6AD757035AFE}"/>
    <w:embedBold r:id="rId2" w:fontKey="{CB086AE2-BBF4-4088-A99B-EACF0C6F1EA3}"/>
    <w:embedItalic r:id="rId3" w:fontKey="{A1F88961-7880-429F-B0AF-E5D1F1DCE91B}"/>
    <w:embedBoldItalic r:id="rId4" w:fontKey="{24D319F3-926F-4124-816A-157F849A802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BB38321-0BD5-4303-AD08-C8392FDAB4A5}"/>
    <w:embedBold r:id="rId6" w:fontKey="{B07841E2-7145-49AA-BD63-66B9B35D6BD9}"/>
    <w:embedItalic r:id="rId7" w:fontKey="{563460A3-60BB-4F7C-BC25-C78A005EC5A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2F24B01-89B8-4B7C-B604-DCFD6C003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1A16A" w14:textId="77777777" w:rsidR="002B3AD0" w:rsidRDefault="002B3AD0" w:rsidP="00C9238F">
      <w:pPr>
        <w:spacing w:after="0" w:line="240" w:lineRule="auto"/>
      </w:pPr>
      <w:r>
        <w:separator/>
      </w:r>
    </w:p>
  </w:footnote>
  <w:footnote w:type="continuationSeparator" w:id="0">
    <w:p w14:paraId="353EC880" w14:textId="77777777" w:rsidR="002B3AD0" w:rsidRDefault="002B3AD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73D4B"/>
    <w:rsid w:val="002B3AD0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2DAC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35FDA"/>
    <w:rsid w:val="00940E73"/>
    <w:rsid w:val="0098597D"/>
    <w:rsid w:val="009F619A"/>
    <w:rsid w:val="009F6DDE"/>
    <w:rsid w:val="009F77CA"/>
    <w:rsid w:val="00A1613A"/>
    <w:rsid w:val="00A34CAC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hlfld-title">
    <w:name w:val="hlfld-title"/>
    <w:basedOn w:val="DefaultParagraphFont"/>
    <w:rsid w:val="004F2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s.acs.org/doi/10.1021/acsenergylett.0c0074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