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0C0DFC" w14:textId="77777777" w:rsidR="00A17EDF" w:rsidRDefault="00A17EDF">
      <w:pPr>
        <w:rPr>
          <w:rFonts w:cstheme="minorHAnsi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6766"/>
      </w:tblGrid>
      <w:tr w:rsidR="00A17EDF" w:rsidRPr="00A17EDF" w14:paraId="7BD01D26" w14:textId="77777777" w:rsidTr="00B46A51">
        <w:trPr>
          <w:trHeight w:val="615"/>
        </w:trPr>
        <w:tc>
          <w:tcPr>
            <w:tcW w:w="1257" w:type="pct"/>
          </w:tcPr>
          <w:p w14:paraId="18818119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Title</w:t>
            </w:r>
          </w:p>
        </w:tc>
        <w:tc>
          <w:tcPr>
            <w:tcW w:w="3743" w:type="pct"/>
            <w:tcBorders>
              <w:top w:val="single" w:sz="18" w:space="0" w:color="007F00"/>
              <w:bottom w:val="single" w:sz="4" w:space="0" w:color="007F00"/>
            </w:tcBorders>
          </w:tcPr>
          <w:p w14:paraId="3B425BFF" w14:textId="23F028A8" w:rsidR="00A17EDF" w:rsidRPr="00A17EDF" w:rsidRDefault="006D64BA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C5E64">
              <w:rPr>
                <w:rFonts w:ascii="Cambria" w:hAnsi="Cambria"/>
                <w:bCs/>
                <w:sz w:val="22"/>
                <w:szCs w:val="22"/>
              </w:rPr>
              <w:t>Two Decades of Tax Revenue Dynamics: Bangladesh Panorama.</w:t>
            </w:r>
          </w:p>
        </w:tc>
      </w:tr>
      <w:tr w:rsidR="00A17EDF" w:rsidRPr="00A17EDF" w14:paraId="1D2852A5" w14:textId="77777777" w:rsidTr="00B46A51">
        <w:trPr>
          <w:trHeight w:val="615"/>
        </w:trPr>
        <w:tc>
          <w:tcPr>
            <w:tcW w:w="1257" w:type="pct"/>
          </w:tcPr>
          <w:p w14:paraId="79FB4100" w14:textId="351CF2A0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Author(s)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8321" w14:textId="456C7970" w:rsidR="00A17EDF" w:rsidRPr="00A17EDF" w:rsidRDefault="00754C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754C3E">
              <w:rPr>
                <w:rFonts w:ascii="Segoe UI" w:hAnsi="Segoe UI" w:cs="Segoe UI"/>
                <w:sz w:val="24"/>
                <w:szCs w:val="24"/>
              </w:rPr>
              <w:t>Mohammad Faridul Alam</w:t>
            </w:r>
            <w:r w:rsidR="00CA61BD">
              <w:rPr>
                <w:rFonts w:ascii="Segoe UI" w:hAnsi="Segoe UI" w:cs="Segoe UI"/>
                <w:sz w:val="24"/>
                <w:szCs w:val="24"/>
              </w:rPr>
              <w:t>,</w:t>
            </w:r>
            <w:r w:rsidRPr="00754C3E">
              <w:rPr>
                <w:rFonts w:ascii="Segoe UI" w:hAnsi="Segoe UI" w:cs="Segoe UI"/>
                <w:sz w:val="24"/>
                <w:szCs w:val="24"/>
              </w:rPr>
              <w:t xml:space="preserve"> </w:t>
            </w:r>
            <w:r w:rsidR="00964514">
              <w:rPr>
                <w:rFonts w:ascii="Segoe UI" w:hAnsi="Segoe UI" w:cs="Segoe UI"/>
                <w:sz w:val="24"/>
                <w:szCs w:val="24"/>
              </w:rPr>
              <w:t>Md.</w:t>
            </w:r>
            <w:r w:rsidR="00CA61BD">
              <w:rPr>
                <w:rFonts w:ascii="Segoe UI" w:hAnsi="Segoe UI" w:cs="Segoe UI"/>
                <w:sz w:val="24"/>
                <w:szCs w:val="24"/>
              </w:rPr>
              <w:t xml:space="preserve"> Moh</w:t>
            </w:r>
            <w:r w:rsidR="00964514">
              <w:rPr>
                <w:rFonts w:ascii="Segoe UI" w:hAnsi="Segoe UI" w:cs="Segoe UI"/>
                <w:sz w:val="24"/>
                <w:szCs w:val="24"/>
              </w:rPr>
              <w:t>iud</w:t>
            </w:r>
            <w:r w:rsidR="00E63E49">
              <w:rPr>
                <w:rFonts w:ascii="Segoe UI" w:hAnsi="Segoe UI" w:cs="Segoe UI"/>
                <w:sz w:val="24"/>
                <w:szCs w:val="24"/>
              </w:rPr>
              <w:t>d</w:t>
            </w:r>
            <w:r w:rsidR="00964514">
              <w:rPr>
                <w:rFonts w:ascii="Segoe UI" w:hAnsi="Segoe UI" w:cs="Segoe UI"/>
                <w:sz w:val="24"/>
                <w:szCs w:val="24"/>
              </w:rPr>
              <w:t>in</w:t>
            </w:r>
          </w:p>
        </w:tc>
      </w:tr>
      <w:tr w:rsidR="00A17EDF" w:rsidRPr="00A17EDF" w14:paraId="11851DF2" w14:textId="77777777" w:rsidTr="00B46A51">
        <w:trPr>
          <w:trHeight w:val="615"/>
        </w:trPr>
        <w:tc>
          <w:tcPr>
            <w:tcW w:w="1257" w:type="pct"/>
          </w:tcPr>
          <w:p w14:paraId="2EF74CA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Contact Email(s)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04350F1" w14:textId="1EDF9134" w:rsidR="00A17EDF" w:rsidRPr="00A17EDF" w:rsidRDefault="00032EE6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m</w:t>
            </w:r>
            <w:r w:rsidR="006D5827">
              <w:rPr>
                <w:rFonts w:ascii="Segoe UI" w:hAnsi="Segoe UI" w:cs="Segoe UI"/>
                <w:sz w:val="24"/>
                <w:szCs w:val="24"/>
              </w:rPr>
              <w:t>f</w:t>
            </w:r>
            <w:r>
              <w:rPr>
                <w:rFonts w:ascii="Segoe UI" w:hAnsi="Segoe UI" w:cs="Segoe UI"/>
                <w:sz w:val="24"/>
                <w:szCs w:val="24"/>
              </w:rPr>
              <w:t>.alam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@aiub.edu</w:t>
            </w:r>
          </w:p>
        </w:tc>
      </w:tr>
      <w:tr w:rsidR="00A17EDF" w:rsidRPr="00A17EDF" w14:paraId="43B2CD96" w14:textId="77777777" w:rsidTr="00B46A51">
        <w:trPr>
          <w:trHeight w:val="615"/>
        </w:trPr>
        <w:tc>
          <w:tcPr>
            <w:tcW w:w="1257" w:type="pct"/>
          </w:tcPr>
          <w:p w14:paraId="3ADA9213" w14:textId="6F4482CF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Published Journal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6E22AF7A" w14:textId="6B9B11C1" w:rsidR="00A17EDF" w:rsidRPr="00A17EDF" w:rsidRDefault="00E708F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466042">
              <w:rPr>
                <w:rFonts w:ascii="Cambria" w:hAnsi="Cambria"/>
                <w:bCs/>
                <w:sz w:val="22"/>
                <w:szCs w:val="22"/>
              </w:rPr>
              <w:t>The AIUB Journal of Business and Economics (AJBE)</w:t>
            </w:r>
          </w:p>
        </w:tc>
      </w:tr>
      <w:tr w:rsidR="00A17EDF" w:rsidRPr="00A17EDF" w14:paraId="24725965" w14:textId="77777777" w:rsidTr="00B46A51">
        <w:trPr>
          <w:trHeight w:val="615"/>
        </w:trPr>
        <w:tc>
          <w:tcPr>
            <w:tcW w:w="1257" w:type="pct"/>
          </w:tcPr>
          <w:p w14:paraId="3D85CD7B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Type of Publication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128C74B" w14:textId="77777777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A17EDF">
              <w:rPr>
                <w:rFonts w:ascii="Segoe UI" w:hAnsi="Segoe UI" w:cs="Segoe UI"/>
                <w:sz w:val="24"/>
                <w:szCs w:val="24"/>
              </w:rPr>
              <w:t>Journal</w:t>
            </w:r>
          </w:p>
        </w:tc>
      </w:tr>
      <w:tr w:rsidR="00A17EDF" w:rsidRPr="00A17EDF" w14:paraId="0DE69A3A" w14:textId="77777777" w:rsidTr="00B46A51">
        <w:trPr>
          <w:trHeight w:val="615"/>
        </w:trPr>
        <w:tc>
          <w:tcPr>
            <w:tcW w:w="1257" w:type="pct"/>
          </w:tcPr>
          <w:p w14:paraId="51DC46A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Volume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40BA5DB" w14:textId="664080BC" w:rsidR="00A17EDF" w:rsidRPr="00A17EDF" w:rsidRDefault="001F0B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  <w:r w:rsidR="00856C58">
              <w:rPr>
                <w:rFonts w:ascii="Segoe UI" w:hAnsi="Segoe UI" w:cs="Segoe UI"/>
                <w:sz w:val="24"/>
                <w:szCs w:val="24"/>
              </w:rPr>
              <w:t>6</w:t>
            </w:r>
          </w:p>
        </w:tc>
      </w:tr>
      <w:tr w:rsidR="00A17EDF" w:rsidRPr="00A17EDF" w14:paraId="3E30FB1F" w14:textId="77777777" w:rsidTr="00B46A51">
        <w:trPr>
          <w:trHeight w:val="615"/>
        </w:trPr>
        <w:tc>
          <w:tcPr>
            <w:tcW w:w="1257" w:type="pct"/>
          </w:tcPr>
          <w:p w14:paraId="5E716DD0" w14:textId="318664D2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Issue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408EB7E1" w14:textId="40296F90" w:rsidR="00A17EDF" w:rsidRPr="00A17EDF" w:rsidRDefault="001F0B3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1</w:t>
            </w:r>
          </w:p>
        </w:tc>
      </w:tr>
      <w:tr w:rsidR="00A17EDF" w:rsidRPr="00A17EDF" w14:paraId="164AE3B7" w14:textId="77777777" w:rsidTr="00B46A51">
        <w:trPr>
          <w:trHeight w:val="615"/>
        </w:trPr>
        <w:tc>
          <w:tcPr>
            <w:tcW w:w="1257" w:type="pct"/>
          </w:tcPr>
          <w:p w14:paraId="62B76A7A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Publisher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17CA822" w14:textId="28A9E41C" w:rsidR="00A17EDF" w:rsidRPr="00A17EDF" w:rsidRDefault="008F522D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Cambria" w:hAnsi="Cambria"/>
                <w:bCs/>
                <w:sz w:val="22"/>
                <w:szCs w:val="22"/>
              </w:rPr>
              <w:t>American International University - Bangladesh</w:t>
            </w:r>
          </w:p>
        </w:tc>
      </w:tr>
      <w:tr w:rsidR="00A17EDF" w:rsidRPr="00A17EDF" w14:paraId="7E0F69B9" w14:textId="77777777" w:rsidTr="00B46A51">
        <w:trPr>
          <w:trHeight w:val="615"/>
        </w:trPr>
        <w:tc>
          <w:tcPr>
            <w:tcW w:w="1257" w:type="pct"/>
          </w:tcPr>
          <w:p w14:paraId="520EA24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Publication Date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741327" w14:textId="2A35C22E" w:rsidR="00A17EDF" w:rsidRPr="00A17EDF" w:rsidRDefault="007011DE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December</w:t>
            </w:r>
            <w:r w:rsidR="00A17EDF" w:rsidRPr="00A17EDF">
              <w:rPr>
                <w:rFonts w:ascii="Segoe UI" w:hAnsi="Segoe UI" w:cs="Segoe UI"/>
                <w:sz w:val="24"/>
                <w:szCs w:val="24"/>
              </w:rPr>
              <w:t>, 20</w:t>
            </w:r>
            <w:r w:rsidR="00856C58">
              <w:rPr>
                <w:rFonts w:ascii="Segoe UI" w:hAnsi="Segoe UI" w:cs="Segoe UI"/>
                <w:sz w:val="24"/>
                <w:szCs w:val="24"/>
              </w:rPr>
              <w:t>19</w:t>
            </w:r>
          </w:p>
        </w:tc>
      </w:tr>
      <w:tr w:rsidR="00A17EDF" w:rsidRPr="00A17EDF" w14:paraId="0F93F891" w14:textId="77777777" w:rsidTr="00B46A51">
        <w:trPr>
          <w:trHeight w:val="615"/>
        </w:trPr>
        <w:tc>
          <w:tcPr>
            <w:tcW w:w="1257" w:type="pct"/>
          </w:tcPr>
          <w:p w14:paraId="3057E501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ISSN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6F92883" w14:textId="2645ECC7" w:rsidR="00A17EDF" w:rsidRPr="00A17EDF" w:rsidRDefault="009A4987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9A4987">
              <w:rPr>
                <w:rFonts w:asciiTheme="majorHAnsi" w:hAnsiTheme="majorHAnsi"/>
                <w:bCs/>
                <w:sz w:val="22"/>
                <w:szCs w:val="22"/>
              </w:rPr>
              <w:t>1683-8742 (Print); 2706-7076 (Online)</w:t>
            </w:r>
          </w:p>
        </w:tc>
      </w:tr>
      <w:tr w:rsidR="00A17EDF" w:rsidRPr="00A17EDF" w14:paraId="642FCF58" w14:textId="77777777" w:rsidTr="00B46A51">
        <w:trPr>
          <w:trHeight w:val="615"/>
        </w:trPr>
        <w:tc>
          <w:tcPr>
            <w:tcW w:w="1257" w:type="pct"/>
          </w:tcPr>
          <w:p w14:paraId="3AB39763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DOI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6C37A19" w14:textId="133DD88A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2D75E798" w14:textId="77777777" w:rsidTr="00B46A51">
        <w:trPr>
          <w:trHeight w:val="615"/>
        </w:trPr>
        <w:tc>
          <w:tcPr>
            <w:tcW w:w="1257" w:type="pct"/>
          </w:tcPr>
          <w:p w14:paraId="19326100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URL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3CC00468" w14:textId="7C337DC8" w:rsidR="00A17EDF" w:rsidRPr="00A17EDF" w:rsidRDefault="00822E69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 w:rsidRPr="00822E69">
              <w:rPr>
                <w:rFonts w:ascii="Cambria" w:hAnsi="Cambria"/>
                <w:bCs/>
                <w:sz w:val="22"/>
                <w:szCs w:val="22"/>
              </w:rPr>
              <w:t>https://ajbe.aiub.edu/Portals/0/Volume%2016%20Issue%201/v16-1-2.pdf</w:t>
            </w:r>
          </w:p>
        </w:tc>
      </w:tr>
      <w:tr w:rsidR="00A17EDF" w:rsidRPr="00A17EDF" w14:paraId="12288075" w14:textId="77777777" w:rsidTr="00B46A51">
        <w:trPr>
          <w:trHeight w:val="615"/>
        </w:trPr>
        <w:tc>
          <w:tcPr>
            <w:tcW w:w="1257" w:type="pct"/>
          </w:tcPr>
          <w:p w14:paraId="1F427595" w14:textId="77777777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Other Related Info.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53A593EB" w14:textId="663D5C0D" w:rsidR="00A17EDF" w:rsidRPr="00A17EDF" w:rsidRDefault="00A17EDF" w:rsidP="00A17EDF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A17EDF" w:rsidRPr="00A17EDF" w14:paraId="562E3AF5" w14:textId="77777777" w:rsidTr="00B46A51">
        <w:trPr>
          <w:trHeight w:val="1186"/>
        </w:trPr>
        <w:tc>
          <w:tcPr>
            <w:tcW w:w="1257" w:type="pct"/>
          </w:tcPr>
          <w:p w14:paraId="36D4B310" w14:textId="7E218346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Keywords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4" w:space="0" w:color="007F00"/>
            </w:tcBorders>
          </w:tcPr>
          <w:p w14:paraId="18E64D3F" w14:textId="283C6A3E" w:rsidR="00A17EDF" w:rsidRPr="00A17EDF" w:rsidRDefault="00E94341" w:rsidP="0021153F">
            <w:pPr>
              <w:spacing w:before="60" w:after="60"/>
              <w:jc w:val="both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Style w:val="fontstyle01"/>
              </w:rPr>
              <w:t>COVID-19, Stimulus Package, Budget, Direct Tax, Fiscal Measure</w:t>
            </w:r>
          </w:p>
        </w:tc>
      </w:tr>
      <w:tr w:rsidR="00A17EDF" w:rsidRPr="00A17EDF" w14:paraId="326B3683" w14:textId="77777777" w:rsidTr="00B46A51">
        <w:trPr>
          <w:trHeight w:val="1186"/>
        </w:trPr>
        <w:tc>
          <w:tcPr>
            <w:tcW w:w="1257" w:type="pct"/>
          </w:tcPr>
          <w:p w14:paraId="4698B760" w14:textId="66B61109" w:rsidR="00A17EDF" w:rsidRPr="001347BA" w:rsidRDefault="00A17EDF" w:rsidP="00A17EDF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Citation</w:t>
            </w:r>
          </w:p>
        </w:tc>
        <w:tc>
          <w:tcPr>
            <w:tcW w:w="3743" w:type="pct"/>
            <w:tcBorders>
              <w:top w:val="single" w:sz="4" w:space="0" w:color="007F00"/>
              <w:bottom w:val="single" w:sz="18" w:space="0" w:color="007F00"/>
            </w:tcBorders>
          </w:tcPr>
          <w:p w14:paraId="6BBFA6B4" w14:textId="1F7D8BBA" w:rsidR="00A17EDF" w:rsidRPr="0020268D" w:rsidRDefault="0020268D" w:rsidP="0020268D">
            <w:pPr>
              <w:spacing w:before="60" w:after="60"/>
              <w:rPr>
                <w:rFonts w:ascii="Segoe UI Light" w:hAnsi="Segoe UI Light" w:cs="Segoe UI Light"/>
                <w:sz w:val="22"/>
                <w:szCs w:val="22"/>
              </w:rPr>
            </w:pPr>
            <w:r w:rsidRPr="0020268D">
              <w:rPr>
                <w:rFonts w:ascii="Segoe UI Light" w:hAnsi="Segoe UI Light" w:cs="Segoe UI Light"/>
                <w:sz w:val="22"/>
                <w:szCs w:val="22"/>
              </w:rPr>
              <w:t>Alam, M.F. and Mohiuddin, M. (2019). Two Decades of Tax Revenue Dynamics: Bangladesh</w:t>
            </w:r>
            <w:r>
              <w:rPr>
                <w:rFonts w:ascii="Segoe UI Light" w:hAnsi="Segoe UI Light" w:cs="Segoe UI Light"/>
                <w:sz w:val="22"/>
                <w:szCs w:val="22"/>
              </w:rPr>
              <w:t xml:space="preserve"> </w:t>
            </w:r>
            <w:r w:rsidRPr="0020268D">
              <w:rPr>
                <w:rFonts w:ascii="Segoe UI Light" w:hAnsi="Segoe UI Light" w:cs="Segoe UI Light"/>
                <w:sz w:val="22"/>
                <w:szCs w:val="22"/>
              </w:rPr>
              <w:t>Panorama. AIUB Journal of Business and Economics, 16 (1), 16-28.</w:t>
            </w:r>
          </w:p>
        </w:tc>
      </w:tr>
    </w:tbl>
    <w:p w14:paraId="368EFAEB" w14:textId="4703E243" w:rsidR="00852B20" w:rsidRPr="00DA5122" w:rsidRDefault="00852B20">
      <w:pPr>
        <w:rPr>
          <w:rFonts w:cstheme="minorHAnsi"/>
        </w:rPr>
      </w:pPr>
      <w:r w:rsidRPr="00DA5122">
        <w:rPr>
          <w:rFonts w:cstheme="minorHAnsi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0"/>
      </w:tblGrid>
      <w:tr w:rsidR="00D77F1B" w:rsidRPr="00D77F1B" w14:paraId="5DCF01B1" w14:textId="77777777" w:rsidTr="00B46A51">
        <w:tc>
          <w:tcPr>
            <w:tcW w:w="5000" w:type="pct"/>
            <w:tcBorders>
              <w:bottom w:val="single" w:sz="18" w:space="0" w:color="007F00"/>
            </w:tcBorders>
          </w:tcPr>
          <w:p w14:paraId="6FD8735F" w14:textId="137A62A5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lastRenderedPageBreak/>
              <w:t>Abstract</w:t>
            </w:r>
          </w:p>
        </w:tc>
      </w:tr>
      <w:tr w:rsidR="00D77F1B" w:rsidRPr="00D77F1B" w14:paraId="0A38678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6980B8A4" w14:textId="7929D348" w:rsidR="00D77F1B" w:rsidRPr="00257BA9" w:rsidRDefault="00AF784C" w:rsidP="00AF784C">
            <w:pPr>
              <w:spacing w:before="60" w:after="60"/>
              <w:jc w:val="both"/>
              <w:rPr>
                <w:rFonts w:ascii="Open Sans" w:hAnsi="Open Sans" w:cs="Open Sans"/>
                <w:color w:val="333333"/>
                <w:sz w:val="26"/>
                <w:szCs w:val="26"/>
              </w:rPr>
            </w:pP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This paper aims to analyze the dynamics of Bangladesh Tax System for the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last two decades. This paper also intends to bring out the salient features of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the existing tax structure to provide some relevant policy recommendations.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Despite having impressive story of progress with its resilient and steady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GDP growth of more than 6% for a number of years, Bangladesh has one of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the lowest </w:t>
            </w:r>
            <w:proofErr w:type="gramStart"/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tax</w:t>
            </w:r>
            <w:proofErr w:type="gramEnd"/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to GDP ratios in the world many years (it has stood 9.8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percent in the year 2016-17), which is one of the lowest among its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neighboring countries and similar economies. Tax revenues </w:t>
            </w:r>
            <w:proofErr w:type="gramStart"/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has</w:t>
            </w:r>
            <w:proofErr w:type="gramEnd"/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been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contributing more than 80% of the total government revenue for the last two</w:t>
            </w:r>
            <w:r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decades with a dominance of indirect tax contribution, although it has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witnessed a decreasing trend in the last decade. Although direct tax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contribution is around 37% of the tax revenue, it is collected from less than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1% of the population of the country with an indication of dissatisfactory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compliance behavior of the taxpayers. Such performance places Bangladesh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in 152nd position among 190 economies in the Paying Taxes 2018 study, as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well as 148th position among 157 economies as per the Commitment to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Reducing Inequality (CRI) Index 2018. Two decades of comparative study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reveals that necessary reform measures should be taken to address the noncompliance problem with an expectation to improve the tax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performance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through an optimal and balanced tax system, that may reduce the degree of</w:t>
            </w:r>
            <w:r w:rsidR="00283C2D">
              <w:rPr>
                <w:rFonts w:ascii="Open Sans" w:hAnsi="Open Sans" w:cs="Open Sans"/>
                <w:color w:val="333333"/>
                <w:sz w:val="26"/>
                <w:szCs w:val="26"/>
              </w:rPr>
              <w:t xml:space="preserve"> </w:t>
            </w:r>
            <w:r w:rsidRPr="00AF784C">
              <w:rPr>
                <w:rFonts w:ascii="Open Sans" w:hAnsi="Open Sans" w:cs="Open Sans"/>
                <w:color w:val="333333"/>
                <w:sz w:val="26"/>
                <w:szCs w:val="26"/>
              </w:rPr>
              <w:t>inequality in society.</w:t>
            </w:r>
          </w:p>
        </w:tc>
      </w:tr>
      <w:tr w:rsidR="00D77F1B" w:rsidRPr="00D77F1B" w14:paraId="483E4123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0A390CAC" w14:textId="77777777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</w:p>
          <w:p w14:paraId="30E7D0B3" w14:textId="01B8D089" w:rsidR="00D77F1B" w:rsidRPr="001347BA" w:rsidRDefault="00D77F1B" w:rsidP="00D77F1B">
            <w:pPr>
              <w:spacing w:before="60" w:after="60"/>
              <w:rPr>
                <w:rFonts w:ascii="Segoe UI" w:hAnsi="Segoe UI" w:cs="Segoe UI"/>
                <w:color w:val="007F00"/>
                <w:sz w:val="24"/>
                <w:szCs w:val="24"/>
              </w:rPr>
            </w:pPr>
            <w:r w:rsidRPr="001347BA">
              <w:rPr>
                <w:rFonts w:ascii="Segoe UI" w:hAnsi="Segoe UI" w:cs="Segoe UI"/>
                <w:color w:val="007F00"/>
                <w:sz w:val="24"/>
                <w:szCs w:val="24"/>
              </w:rPr>
              <w:t>Sustainable Development Goal(s) (SDG)</w:t>
            </w:r>
          </w:p>
        </w:tc>
      </w:tr>
      <w:tr w:rsidR="00D77F1B" w:rsidRPr="00D77F1B" w14:paraId="4EF1D0F2" w14:textId="77777777" w:rsidTr="00B46A51">
        <w:tc>
          <w:tcPr>
            <w:tcW w:w="5000" w:type="pct"/>
            <w:tcBorders>
              <w:top w:val="single" w:sz="18" w:space="0" w:color="007F00"/>
              <w:bottom w:val="single" w:sz="18" w:space="0" w:color="007F00"/>
            </w:tcBorders>
          </w:tcPr>
          <w:p w14:paraId="1755BAF4" w14:textId="4C214B4F" w:rsidR="00D77F1B" w:rsidRPr="00D77F1B" w:rsidRDefault="00912136" w:rsidP="00D77F1B">
            <w:pPr>
              <w:spacing w:before="60" w:after="60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sz w:val="24"/>
                <w:szCs w:val="24"/>
              </w:rPr>
              <w:t>Decent Work and Economic Growth</w:t>
            </w:r>
          </w:p>
        </w:tc>
      </w:tr>
    </w:tbl>
    <w:p w14:paraId="191A99B7" w14:textId="77777777" w:rsidR="00A17EDF" w:rsidRDefault="00A17EDF">
      <w:pPr>
        <w:rPr>
          <w:rFonts w:cstheme="minorHAnsi"/>
        </w:rPr>
      </w:pPr>
    </w:p>
    <w:p w14:paraId="120F4C04" w14:textId="77777777" w:rsidR="00A17EDF" w:rsidRPr="00DA5122" w:rsidRDefault="00A17EDF">
      <w:pPr>
        <w:rPr>
          <w:rFonts w:cstheme="minorHAnsi"/>
        </w:rPr>
      </w:pPr>
    </w:p>
    <w:sectPr w:rsidR="00A17EDF" w:rsidRPr="00DA5122" w:rsidSect="00B46A51">
      <w:headerReference w:type="default" r:id="rId11"/>
      <w:footerReference w:type="default" r:id="rId12"/>
      <w:pgSz w:w="11900" w:h="16840"/>
      <w:pgMar w:top="1440" w:right="1440" w:bottom="1008" w:left="1440" w:header="0" w:footer="1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A73962" w14:textId="77777777" w:rsidR="00581F5D" w:rsidRDefault="00581F5D" w:rsidP="00C9238F">
      <w:pPr>
        <w:spacing w:after="0" w:line="240" w:lineRule="auto"/>
      </w:pPr>
      <w:r>
        <w:separator/>
      </w:r>
    </w:p>
  </w:endnote>
  <w:endnote w:type="continuationSeparator" w:id="0">
    <w:p w14:paraId="25996BF8" w14:textId="77777777" w:rsidR="00581F5D" w:rsidRDefault="00581F5D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2DFE55D-DAC3-45A0-A1DE-92CD76BD3579}"/>
    <w:embedBold r:id="rId2" w:fontKey="{C1CCEE0E-E249-4043-88C8-B13F385CC45F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1940515A-4D65-4F70-92E3-4DA03B42D19A}"/>
    <w:embedBold r:id="rId4" w:fontKey="{11EB3FBE-DCC2-4F44-B6F5-114622E349DE}"/>
    <w:embedItalic r:id="rId5" w:fontKey="{0F922A8B-9F16-465B-95C4-2DF24646344E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6" w:fontKey="{0FBF87C7-9E48-445D-9F2C-2AF5776C8823}"/>
    <w:embedBold r:id="rId7" w:fontKey="{6AE12EA0-0ABF-4ACE-8D44-5931453CBF42}"/>
    <w:embedItalic r:id="rId8" w:fontKey="{6F46E7E5-ACDA-4EA6-9CA9-FF67DBE44DC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276239C9-AFA7-4418-94E4-B0F6245EAC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DC6B8010-F2B8-40A5-AC10-EE46C99D23ED}"/>
    <w:embedBold r:id="rId11" w:fontKey="{6029C403-9480-4206-ADFF-C8E67A1F665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193222F9-FBDE-40AF-BD1E-1DE3A67AEC98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868F768-10B3-48AB-A84C-0A9E12C439CB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4" w:fontKey="{F1BD9FC2-DAD9-4789-8BFF-90B7896CE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90" w:type="dxa"/>
      <w:tblLook w:val="04A0" w:firstRow="1" w:lastRow="0" w:firstColumn="1" w:lastColumn="0" w:noHBand="0" w:noVBand="1"/>
    </w:tblPr>
    <w:tblGrid>
      <w:gridCol w:w="4637"/>
      <w:gridCol w:w="5853"/>
    </w:tblGrid>
    <w:tr w:rsidR="001347BA" w:rsidRPr="00003212" w14:paraId="12E50DC3" w14:textId="77777777" w:rsidTr="001347BA">
      <w:trPr>
        <w:trHeight w:val="543"/>
      </w:trPr>
      <w:tc>
        <w:tcPr>
          <w:tcW w:w="4637" w:type="dxa"/>
          <w:vAlign w:val="center"/>
        </w:tcPr>
        <w:p w14:paraId="3B1F18DD" w14:textId="2F66B457" w:rsidR="000D68B9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  </w:t>
          </w:r>
        </w:p>
      </w:tc>
      <w:tc>
        <w:tcPr>
          <w:tcW w:w="5853" w:type="dxa"/>
          <w:vAlign w:val="bottom"/>
        </w:tcPr>
        <w:sdt>
          <w:sdtPr>
            <w:rPr>
              <w:rFonts w:ascii="Segoe UI Light" w:hAnsi="Segoe UI Light" w:cs="Segoe UI Light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rFonts w:ascii="Segoe UI Light" w:hAnsi="Segoe UI Light" w:cs="Segoe UI Light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7F411E48" w:rsidR="00887812" w:rsidRPr="00D77F1B" w:rsidRDefault="00C333A6" w:rsidP="00D77F1B">
                  <w:pPr>
                    <w:pStyle w:val="Footer"/>
                    <w:jc w:val="right"/>
                    <w:rPr>
                      <w:rFonts w:ascii="Segoe UI Light" w:hAnsi="Segoe UI Light" w:cs="Segoe UI Light"/>
                    </w:rPr>
                  </w:pPr>
                  <w:r w:rsidRPr="00D77F1B">
                    <w:rPr>
                      <w:rFonts w:ascii="Segoe UI Light" w:hAnsi="Segoe UI Light" w:cs="Segoe UI Light"/>
                    </w:rPr>
                    <w:t xml:space="preserve"> </w:t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Page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PAGE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1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  <w:r w:rsidR="00887812" w:rsidRPr="00D77F1B">
                    <w:rPr>
                      <w:rFonts w:ascii="Segoe UI Light" w:hAnsi="Segoe UI Light" w:cs="Segoe UI Light"/>
                    </w:rPr>
                    <w:t xml:space="preserve"> of 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begin"/>
                  </w:r>
                  <w:r w:rsidR="00887812" w:rsidRPr="00D77F1B">
                    <w:rPr>
                      <w:rFonts w:ascii="Segoe UI Light" w:hAnsi="Segoe UI Light" w:cs="Segoe UI Light"/>
                    </w:rPr>
                    <w:instrText xml:space="preserve"> NUMPAGES  </w:instrTex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separate"/>
                  </w:r>
                  <w:r w:rsidR="00C36232" w:rsidRPr="00D77F1B">
                    <w:rPr>
                      <w:rFonts w:ascii="Segoe UI Light" w:hAnsi="Segoe UI Light" w:cs="Segoe UI Light"/>
                      <w:noProof/>
                    </w:rPr>
                    <w:t>3</w:t>
                  </w:r>
                  <w:r w:rsidR="00887812" w:rsidRPr="00D77F1B">
                    <w:rPr>
                      <w:rFonts w:ascii="Segoe UI Light" w:hAnsi="Segoe UI Light" w:cs="Segoe UI Light"/>
                      <w:sz w:val="24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D77F1B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F7B3C22" w:rsidR="00576892" w:rsidRPr="00003212" w:rsidRDefault="001347BA" w:rsidP="00003212">
    <w:pPr>
      <w:pStyle w:val="NoSpacing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63BE5F" wp14:editId="23488C5C">
              <wp:simplePos x="0" y="0"/>
              <wp:positionH relativeFrom="column">
                <wp:posOffset>48567</wp:posOffset>
              </wp:positionH>
              <wp:positionV relativeFrom="paragraph">
                <wp:posOffset>-372110</wp:posOffset>
              </wp:positionV>
              <wp:extent cx="4381500" cy="422787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4227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41B4C1" w14:textId="281FEDC2" w:rsidR="000D68B9" w:rsidRPr="00A17EDF" w:rsidRDefault="000D68B9" w:rsidP="00C646F6">
                          <w:pPr>
                            <w:spacing w:line="240" w:lineRule="auto"/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</w:pP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 xml:space="preserve">Faculty of </w:t>
                          </w:r>
                          <w:r w:rsidR="00C646F6"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t>Business Administration</w:t>
                          </w:r>
                          <w:r w:rsidRPr="00A17EDF">
                            <w:rPr>
                              <w:rFonts w:ascii="Segoe UI" w:hAnsi="Segoe UI" w:cs="Segoe UI"/>
                              <w:b/>
                              <w:bCs/>
                              <w:color w:val="00B050"/>
                              <w:sz w:val="24"/>
                              <w:szCs w:val="24"/>
                            </w:rPr>
                            <w:br/>
                          </w:r>
                          <w:r w:rsidRPr="00A17EDF">
                            <w:rPr>
                              <w:rFonts w:ascii="Segoe UI" w:hAnsi="Segoe UI" w:cs="Segoe UI"/>
                              <w:color w:val="0070C0" w:themeColor="accent1"/>
                              <w:sz w:val="24"/>
                              <w:szCs w:val="24"/>
                            </w:rPr>
                            <w:t>American International University-Bangladesh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3BE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.8pt;margin-top:-29.3pt;width:345pt;height:3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4f3DgIAABwEAAAOAAAAZHJzL2Uyb0RvYy54bWysU8tu2zAQvBfoPxC815KdlyFYDtwELgoY&#10;SQCnyJmmSEsAyWVJ2pL79V1Skh2kPRW9rFbc5T5mhov7TityFM43YEo6neSUCMOhasy+pD9e11/m&#10;lPjATMUUGFHSk/D0fvn506K1hZhBDaoSjmAR44vWlrQOwRZZ5nktNPMTsMJgUILTLOCv22eVYy1W&#10;1yqb5flt1oKrrAMuvMfTxz5Il6m+lIKHZym9CESVFGcLybpkd9FmywUr9o7ZuuHDGOwfptCsMdj0&#10;XOqRBUYOrvmjlG64Aw8yTDjoDKRsuEg74DbT/MM225pZkXZBcLw9w+T/X1n+dNzaF0dC9xU6JDAC&#10;0lpfeDyM+3TS6fjFSQnGEcLTGTbRBcLx8PpqPr3JMcQxdj2b3c3vYpnscts6H74J0CQ6JXVIS0KL&#10;HTc+9KljSmxmYN0olahRhrQlvb26ydOFcwSLK4M9LrNGL3S7blhgB9UJ93LQU+4tXzfYfMN8eGEO&#10;OcZ5UbfhGY1UgE1g8Cipwf3623nMR+gxSkmLmimp/3lgTlCivhskJQpsdNzo7EbHHPQDoAyn+CIs&#10;Ty5ecEGNrnSg31DOq9gFQ8xw7FXSMLoPoVcuPgcuVquUhDKyLGzM1vJYOsIXoXzt3pizA94BmXqC&#10;UU2s+AB7n9sDvzoEkE3iJALaozjgjBJMrA7PJWr8/X/Kujzq5W8AAAD//wMAUEsDBBQABgAIAAAA&#10;IQBw2iYt3AAAAAcBAAAPAAAAZHJzL2Rvd25yZXYueG1sTI5LT8MwEITvSPwHa5G4tXaRCGnIpkI8&#10;bkChBQluTrwkEX5EtpOGf497gtvszGj2Kzez0WwiH3pnEVZLAYxs41RvW4S3/cMiBxaitEpqZwnh&#10;hwJsqtOTUhbKHewrTbvYsjRiQyERuhiHgvPQdGRkWLqBbMq+nDcyptO3XHl5SONG8wshMm5kb9OH&#10;Tg5021HzvRsNgv4I/rEW8XO6a5/iy5aP7/erZ8Tzs/nmGlikOf6V4Yif0KFKTLUbrQpMI1xlqYiw&#10;uMyTSHm2Pjo1Qi6AVyX/z1/9AgAA//8DAFBLAQItABQABgAIAAAAIQC2gziS/gAAAOEBAAATAAAA&#10;AAAAAAAAAAAAAAAAAABbQ29udGVudF9UeXBlc10ueG1sUEsBAi0AFAAGAAgAAAAhADj9If/WAAAA&#10;lAEAAAsAAAAAAAAAAAAAAAAALwEAAF9yZWxzLy5yZWxzUEsBAi0AFAAGAAgAAAAhAKerh/cOAgAA&#10;HAQAAA4AAAAAAAAAAAAAAAAALgIAAGRycy9lMm9Eb2MueG1sUEsBAi0AFAAGAAgAAAAhAHDaJi3c&#10;AAAABwEAAA8AAAAAAAAAAAAAAAAAaAQAAGRycy9kb3ducmV2LnhtbFBLBQYAAAAABAAEAPMAAABx&#10;BQAAAAA=&#10;" filled="f" stroked="f" strokeweight=".5pt">
              <v:textbox inset="0,0,0,0">
                <w:txbxContent>
                  <w:p w14:paraId="2441B4C1" w14:textId="281FEDC2" w:rsidR="000D68B9" w:rsidRPr="00A17EDF" w:rsidRDefault="000D68B9" w:rsidP="00C646F6">
                    <w:pPr>
                      <w:spacing w:line="240" w:lineRule="auto"/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</w:pP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 xml:space="preserve">Faculty of </w:t>
                    </w:r>
                    <w:r w:rsidR="00C646F6"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t>Business Administration</w:t>
                    </w:r>
                    <w:r w:rsidRPr="00A17EDF">
                      <w:rPr>
                        <w:rFonts w:ascii="Segoe UI" w:hAnsi="Segoe UI" w:cs="Segoe UI"/>
                        <w:b/>
                        <w:bCs/>
                        <w:color w:val="00B050"/>
                        <w:sz w:val="24"/>
                        <w:szCs w:val="24"/>
                      </w:rPr>
                      <w:br/>
                    </w:r>
                    <w:r w:rsidRPr="00A17EDF">
                      <w:rPr>
                        <w:rFonts w:ascii="Segoe UI" w:hAnsi="Segoe UI" w:cs="Segoe UI"/>
                        <w:color w:val="0070C0" w:themeColor="accent1"/>
                        <w:sz w:val="24"/>
                        <w:szCs w:val="24"/>
                      </w:rPr>
                      <w:t>American International University-Bangladesh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Cs w:val="24"/>
      </w:rPr>
      <w:drawing>
        <wp:anchor distT="0" distB="0" distL="114300" distR="114300" simplePos="0" relativeHeight="251660288" behindDoc="0" locked="0" layoutInCell="1" allowOverlap="1" wp14:anchorId="37CE0E73" wp14:editId="184E17F4">
          <wp:simplePos x="0" y="0"/>
          <wp:positionH relativeFrom="column">
            <wp:posOffset>-739857</wp:posOffset>
          </wp:positionH>
          <wp:positionV relativeFrom="paragraph">
            <wp:posOffset>-499745</wp:posOffset>
          </wp:positionV>
          <wp:extent cx="638175" cy="638175"/>
          <wp:effectExtent l="0" t="0" r="952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791FA9" w14:textId="77777777" w:rsidR="00581F5D" w:rsidRDefault="00581F5D" w:rsidP="00C9238F">
      <w:pPr>
        <w:spacing w:after="0" w:line="240" w:lineRule="auto"/>
      </w:pPr>
      <w:r>
        <w:separator/>
      </w:r>
    </w:p>
  </w:footnote>
  <w:footnote w:type="continuationSeparator" w:id="0">
    <w:p w14:paraId="4B16E304" w14:textId="77777777" w:rsidR="00581F5D" w:rsidRDefault="00581F5D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33" w:type="dxa"/>
      <w:tblInd w:w="-1429" w:type="dxa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766"/>
      <w:gridCol w:w="10467"/>
    </w:tblGrid>
    <w:tr w:rsidR="00576892" w:rsidRPr="00A17EDF" w14:paraId="477E62F0" w14:textId="77777777" w:rsidTr="00D77F1B">
      <w:trPr>
        <w:trHeight w:val="1417"/>
      </w:trPr>
      <w:tc>
        <w:tcPr>
          <w:tcW w:w="1766" w:type="dxa"/>
          <w:shd w:val="clear" w:color="auto" w:fill="AEAAAA" w:themeFill="background2" w:themeFillShade="BF"/>
          <w:vAlign w:val="center"/>
        </w:tcPr>
        <w:p w14:paraId="6567CCB1" w14:textId="77777777" w:rsidR="00576892" w:rsidRPr="00D77F1B" w:rsidRDefault="00576892" w:rsidP="00D77F1B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Segoe UI" w:eastAsia="Calibri" w:hAnsi="Segoe UI" w:cs="Segoe UI"/>
              <w:b/>
              <w:bCs/>
              <w:noProof/>
              <w:color w:val="BF678E" w:themeColor="accent3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0467" w:type="dxa"/>
          <w:shd w:val="clear" w:color="auto" w:fill="92D050"/>
          <w:vAlign w:val="center"/>
        </w:tcPr>
        <w:p w14:paraId="5A248E92" w14:textId="383A668F" w:rsidR="00576892" w:rsidRPr="00A17EDF" w:rsidRDefault="00010104" w:rsidP="001347BA">
          <w:pPr>
            <w:tabs>
              <w:tab w:val="center" w:pos="4680"/>
              <w:tab w:val="right" w:pos="9360"/>
            </w:tabs>
            <w:spacing w:after="0"/>
            <w:ind w:left="402"/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</w:pPr>
          <w:r w:rsidRPr="00A17EDF">
            <w:rPr>
              <w:rFonts w:ascii="Segoe UI" w:eastAsia="Calibri" w:hAnsi="Segoe UI" w:cs="Segoe UI"/>
              <w:b/>
              <w:bCs/>
              <w:noProof/>
              <w:color w:val="FFFFFF" w:themeColor="background1"/>
              <w:sz w:val="40"/>
              <w:szCs w:val="20"/>
            </w:rPr>
            <w:t xml:space="preserve">AIUB DSpace </w:t>
          </w:r>
          <w:r w:rsidRPr="00D77F1B">
            <w:rPr>
              <w:rFonts w:ascii="Segoe UI Light" w:eastAsia="Calibri" w:hAnsi="Segoe UI Light" w:cs="Segoe UI Light"/>
              <w:noProof/>
              <w:color w:val="FFFFFF" w:themeColor="background1"/>
              <w:sz w:val="40"/>
              <w:szCs w:val="20"/>
            </w:rPr>
            <w:t>Publication Details</w:t>
          </w:r>
        </w:p>
      </w:tc>
    </w:tr>
  </w:tbl>
  <w:p w14:paraId="56A65A3E" w14:textId="77777777" w:rsidR="00C9238F" w:rsidRPr="00A17EDF" w:rsidRDefault="00C9238F" w:rsidP="00576892">
    <w:pPr>
      <w:pStyle w:val="NoSpacing"/>
      <w:rPr>
        <w:rFonts w:ascii="Segoe UI" w:hAnsi="Segoe UI" w:cs="Segoe UI"/>
        <w:b/>
        <w:bCs/>
        <w:sz w:val="1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816558275">
    <w:abstractNumId w:val="12"/>
  </w:num>
  <w:num w:numId="2" w16cid:durableId="2076971476">
    <w:abstractNumId w:val="8"/>
  </w:num>
  <w:num w:numId="3" w16cid:durableId="494807571">
    <w:abstractNumId w:val="16"/>
  </w:num>
  <w:num w:numId="4" w16cid:durableId="1342049650">
    <w:abstractNumId w:val="13"/>
  </w:num>
  <w:num w:numId="5" w16cid:durableId="280696522">
    <w:abstractNumId w:val="14"/>
  </w:num>
  <w:num w:numId="6" w16cid:durableId="137960720">
    <w:abstractNumId w:val="20"/>
  </w:num>
  <w:num w:numId="7" w16cid:durableId="493760863">
    <w:abstractNumId w:val="7"/>
  </w:num>
  <w:num w:numId="8" w16cid:durableId="450827809">
    <w:abstractNumId w:val="11"/>
  </w:num>
  <w:num w:numId="9" w16cid:durableId="1549106127">
    <w:abstractNumId w:val="18"/>
  </w:num>
  <w:num w:numId="10" w16cid:durableId="1455323977">
    <w:abstractNumId w:val="2"/>
  </w:num>
  <w:num w:numId="11" w16cid:durableId="1587570069">
    <w:abstractNumId w:val="6"/>
  </w:num>
  <w:num w:numId="12" w16cid:durableId="689834907">
    <w:abstractNumId w:val="1"/>
  </w:num>
  <w:num w:numId="13" w16cid:durableId="593247834">
    <w:abstractNumId w:val="3"/>
  </w:num>
  <w:num w:numId="14" w16cid:durableId="1196043342">
    <w:abstractNumId w:val="10"/>
  </w:num>
  <w:num w:numId="15" w16cid:durableId="139395610">
    <w:abstractNumId w:val="9"/>
  </w:num>
  <w:num w:numId="16" w16cid:durableId="1536237971">
    <w:abstractNumId w:val="17"/>
  </w:num>
  <w:num w:numId="17" w16cid:durableId="242616622">
    <w:abstractNumId w:val="4"/>
  </w:num>
  <w:num w:numId="18" w16cid:durableId="2095587259">
    <w:abstractNumId w:val="22"/>
  </w:num>
  <w:num w:numId="19" w16cid:durableId="1080518110">
    <w:abstractNumId w:val="19"/>
  </w:num>
  <w:num w:numId="20" w16cid:durableId="1894537863">
    <w:abstractNumId w:val="15"/>
  </w:num>
  <w:num w:numId="21" w16cid:durableId="1018586283">
    <w:abstractNumId w:val="21"/>
  </w:num>
  <w:num w:numId="22" w16cid:durableId="944195572">
    <w:abstractNumId w:val="5"/>
  </w:num>
  <w:num w:numId="23" w16cid:durableId="181208864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32EE6"/>
    <w:rsid w:val="00052382"/>
    <w:rsid w:val="0006568A"/>
    <w:rsid w:val="00065A07"/>
    <w:rsid w:val="00076F0F"/>
    <w:rsid w:val="00084253"/>
    <w:rsid w:val="000D0A38"/>
    <w:rsid w:val="000D1F49"/>
    <w:rsid w:val="000D68B9"/>
    <w:rsid w:val="001060D8"/>
    <w:rsid w:val="00110BAB"/>
    <w:rsid w:val="00111C0D"/>
    <w:rsid w:val="001347BA"/>
    <w:rsid w:val="00135F0A"/>
    <w:rsid w:val="001727CA"/>
    <w:rsid w:val="001E63E9"/>
    <w:rsid w:val="001F0B3E"/>
    <w:rsid w:val="001F428C"/>
    <w:rsid w:val="001F5CF8"/>
    <w:rsid w:val="0020268D"/>
    <w:rsid w:val="0021153F"/>
    <w:rsid w:val="00257BA9"/>
    <w:rsid w:val="00283C2D"/>
    <w:rsid w:val="002C56E6"/>
    <w:rsid w:val="002D3238"/>
    <w:rsid w:val="002F2AC1"/>
    <w:rsid w:val="002F3052"/>
    <w:rsid w:val="00326E3F"/>
    <w:rsid w:val="00354AA3"/>
    <w:rsid w:val="00361E11"/>
    <w:rsid w:val="00370C3C"/>
    <w:rsid w:val="003761D4"/>
    <w:rsid w:val="003A7BCF"/>
    <w:rsid w:val="003F0847"/>
    <w:rsid w:val="0040090B"/>
    <w:rsid w:val="00406E20"/>
    <w:rsid w:val="00421017"/>
    <w:rsid w:val="0046302A"/>
    <w:rsid w:val="004759ED"/>
    <w:rsid w:val="00487CA1"/>
    <w:rsid w:val="00487D2D"/>
    <w:rsid w:val="004C0FDC"/>
    <w:rsid w:val="004C7D84"/>
    <w:rsid w:val="004D5D62"/>
    <w:rsid w:val="004E5717"/>
    <w:rsid w:val="004F76A2"/>
    <w:rsid w:val="005112D0"/>
    <w:rsid w:val="00522B79"/>
    <w:rsid w:val="0055411F"/>
    <w:rsid w:val="005559F1"/>
    <w:rsid w:val="00567E00"/>
    <w:rsid w:val="00576892"/>
    <w:rsid w:val="00577E06"/>
    <w:rsid w:val="00581F5D"/>
    <w:rsid w:val="00587E1B"/>
    <w:rsid w:val="005A3BF7"/>
    <w:rsid w:val="005B71DD"/>
    <w:rsid w:val="005C38C1"/>
    <w:rsid w:val="005C7AE7"/>
    <w:rsid w:val="005D1418"/>
    <w:rsid w:val="005E19AD"/>
    <w:rsid w:val="005F2035"/>
    <w:rsid w:val="005F7990"/>
    <w:rsid w:val="0063739C"/>
    <w:rsid w:val="00655498"/>
    <w:rsid w:val="006D5827"/>
    <w:rsid w:val="006D64BA"/>
    <w:rsid w:val="007011DE"/>
    <w:rsid w:val="00712EDA"/>
    <w:rsid w:val="0073710F"/>
    <w:rsid w:val="00754C3E"/>
    <w:rsid w:val="00770F25"/>
    <w:rsid w:val="00774C74"/>
    <w:rsid w:val="00790A08"/>
    <w:rsid w:val="007A35A8"/>
    <w:rsid w:val="007B0A85"/>
    <w:rsid w:val="007C674D"/>
    <w:rsid w:val="007C6A52"/>
    <w:rsid w:val="007E4956"/>
    <w:rsid w:val="00810E1F"/>
    <w:rsid w:val="0082043E"/>
    <w:rsid w:val="00822E69"/>
    <w:rsid w:val="00852B20"/>
    <w:rsid w:val="00856C58"/>
    <w:rsid w:val="00887812"/>
    <w:rsid w:val="00892886"/>
    <w:rsid w:val="00897670"/>
    <w:rsid w:val="008B0E32"/>
    <w:rsid w:val="008E203A"/>
    <w:rsid w:val="008E2DBA"/>
    <w:rsid w:val="008F3D44"/>
    <w:rsid w:val="008F522D"/>
    <w:rsid w:val="00900C18"/>
    <w:rsid w:val="00912136"/>
    <w:rsid w:val="0091229C"/>
    <w:rsid w:val="00920221"/>
    <w:rsid w:val="00940E73"/>
    <w:rsid w:val="00952407"/>
    <w:rsid w:val="00964514"/>
    <w:rsid w:val="0097437B"/>
    <w:rsid w:val="0097508B"/>
    <w:rsid w:val="0098597D"/>
    <w:rsid w:val="009A4987"/>
    <w:rsid w:val="009B21A9"/>
    <w:rsid w:val="009C7788"/>
    <w:rsid w:val="009F619A"/>
    <w:rsid w:val="009F6DDE"/>
    <w:rsid w:val="009F77CA"/>
    <w:rsid w:val="00A1613A"/>
    <w:rsid w:val="00A17EDF"/>
    <w:rsid w:val="00A241AB"/>
    <w:rsid w:val="00A33E91"/>
    <w:rsid w:val="00A370A8"/>
    <w:rsid w:val="00A51CA6"/>
    <w:rsid w:val="00A62A40"/>
    <w:rsid w:val="00A82A33"/>
    <w:rsid w:val="00AC27CE"/>
    <w:rsid w:val="00AF11A0"/>
    <w:rsid w:val="00AF30B2"/>
    <w:rsid w:val="00AF6BFE"/>
    <w:rsid w:val="00AF784C"/>
    <w:rsid w:val="00B46A51"/>
    <w:rsid w:val="00BB46DF"/>
    <w:rsid w:val="00BC6682"/>
    <w:rsid w:val="00BD1596"/>
    <w:rsid w:val="00BD4753"/>
    <w:rsid w:val="00BD5CB1"/>
    <w:rsid w:val="00BE62EE"/>
    <w:rsid w:val="00C003BA"/>
    <w:rsid w:val="00C039BD"/>
    <w:rsid w:val="00C26236"/>
    <w:rsid w:val="00C333A6"/>
    <w:rsid w:val="00C36232"/>
    <w:rsid w:val="00C46878"/>
    <w:rsid w:val="00C5495F"/>
    <w:rsid w:val="00C646F6"/>
    <w:rsid w:val="00C9238F"/>
    <w:rsid w:val="00C94690"/>
    <w:rsid w:val="00C96307"/>
    <w:rsid w:val="00CA61BD"/>
    <w:rsid w:val="00CA61E4"/>
    <w:rsid w:val="00CB4A51"/>
    <w:rsid w:val="00CD4532"/>
    <w:rsid w:val="00CD47B0"/>
    <w:rsid w:val="00CE6104"/>
    <w:rsid w:val="00CE7918"/>
    <w:rsid w:val="00CE7E7E"/>
    <w:rsid w:val="00D03AC6"/>
    <w:rsid w:val="00D16163"/>
    <w:rsid w:val="00D31E76"/>
    <w:rsid w:val="00D63E1C"/>
    <w:rsid w:val="00D73BA0"/>
    <w:rsid w:val="00D77F1B"/>
    <w:rsid w:val="00D876C4"/>
    <w:rsid w:val="00DA5122"/>
    <w:rsid w:val="00DA6E67"/>
    <w:rsid w:val="00DB3FAD"/>
    <w:rsid w:val="00DD1ECF"/>
    <w:rsid w:val="00E14964"/>
    <w:rsid w:val="00E35E58"/>
    <w:rsid w:val="00E61C09"/>
    <w:rsid w:val="00E62FC6"/>
    <w:rsid w:val="00E63E49"/>
    <w:rsid w:val="00E708F9"/>
    <w:rsid w:val="00E94341"/>
    <w:rsid w:val="00EB3B58"/>
    <w:rsid w:val="00EC7359"/>
    <w:rsid w:val="00ED73C1"/>
    <w:rsid w:val="00EE3054"/>
    <w:rsid w:val="00F00606"/>
    <w:rsid w:val="00F01256"/>
    <w:rsid w:val="00F04757"/>
    <w:rsid w:val="00F12E03"/>
    <w:rsid w:val="00F50DEB"/>
    <w:rsid w:val="00F6558E"/>
    <w:rsid w:val="00FC6406"/>
    <w:rsid w:val="00FC7475"/>
    <w:rsid w:val="00FD48D9"/>
    <w:rsid w:val="00FE433B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E94341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7AD21D-7328-4ED5-A71E-978648F242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2023-09-11T03:56:00Z</dcterms:created>
  <dcterms:modified xsi:type="dcterms:W3CDTF">2024-07-04T13:06:00Z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