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3925" w14:textId="77777777" w:rsidR="00714EA4" w:rsidRDefault="00714EA4" w:rsidP="00714EA4">
      <w:pPr>
        <w:ind w:right="-59"/>
        <w:jc w:val="center"/>
        <w:rPr>
          <w:rFonts w:eastAsia="Times New Roman" w:cs="Times New Roman"/>
          <w:b/>
          <w:color w:val="000000"/>
          <w:szCs w:val="24"/>
        </w:rPr>
      </w:pPr>
      <w:bookmarkStart w:id="0" w:name="page1"/>
      <w:bookmarkEnd w:id="0"/>
      <w:r>
        <w:rPr>
          <w:rFonts w:eastAsia="Times New Roman" w:cs="Times New Roman"/>
          <w:b/>
          <w:color w:val="000000"/>
          <w:szCs w:val="24"/>
        </w:rPr>
        <w:t>Assessing the Online Teaching Readiness of Faculty Member</w:t>
      </w:r>
    </w:p>
    <w:p w14:paraId="5E5C0467" w14:textId="77777777" w:rsidR="00714EA4" w:rsidRDefault="00714EA4" w:rsidP="00714EA4">
      <w:pPr>
        <w:autoSpaceDE w:val="0"/>
        <w:autoSpaceDN w:val="0"/>
        <w:adjustRightInd w:val="0"/>
        <w:jc w:val="left"/>
        <w:rPr>
          <w:rFonts w:ascii="AdvOT323a8e6c.B" w:eastAsiaTheme="minorHAnsi" w:hAnsi="AdvOT323a8e6c.B" w:cs="AdvOT323a8e6c.B"/>
          <w:sz w:val="18"/>
          <w:szCs w:val="18"/>
          <w14:ligatures w14:val="standardContextual"/>
        </w:rPr>
      </w:pPr>
    </w:p>
    <w:p w14:paraId="769EB138" w14:textId="3BCA639B" w:rsidR="00714EA4" w:rsidRDefault="00714EA4" w:rsidP="00714EA4">
      <w:pPr>
        <w:autoSpaceDE w:val="0"/>
        <w:autoSpaceDN w:val="0"/>
        <w:adjustRightInd w:val="0"/>
        <w:jc w:val="center"/>
        <w:rPr>
          <w:rFonts w:ascii="AdvOT323a8e6c.B" w:eastAsiaTheme="minorHAnsi" w:hAnsi="AdvOT323a8e6c.B" w:cs="AdvOT323a8e6c.B"/>
          <w:sz w:val="18"/>
          <w:szCs w:val="18"/>
          <w14:ligatures w14:val="standardContextual"/>
        </w:rPr>
      </w:pPr>
      <w:r>
        <w:rPr>
          <w:rFonts w:ascii="AdvOT323a8e6c.B" w:eastAsiaTheme="minorHAnsi" w:hAnsi="AdvOT323a8e6c.B" w:cs="AdvOT323a8e6c.B"/>
          <w:sz w:val="18"/>
          <w:szCs w:val="18"/>
          <w14:ligatures w14:val="standardContextual"/>
        </w:rPr>
        <w:t>Abstract</w:t>
      </w:r>
    </w:p>
    <w:p w14:paraId="4101A9C1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Purpose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This study aims to investigate how online teaching of faculty members is affected by technological</w:t>
      </w:r>
    </w:p>
    <w:p w14:paraId="77DA270E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readiness (TR) of using online teaching platforms. The study sheds light on how many faculty members were</w:t>
      </w:r>
    </w:p>
    <w:p w14:paraId="07192B0B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ready to use different online platforms during COVID-19 period.</w:t>
      </w:r>
    </w:p>
    <w:p w14:paraId="6B94E849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Design/methodology/approach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This study used TR measures to determine the impact of optimism</w:t>
      </w:r>
    </w:p>
    <w:p w14:paraId="4AA0279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regarding the perceived usefulness and ease of usage, impact of innovativeness in terms of perceived usability</w:t>
      </w:r>
    </w:p>
    <w:p w14:paraId="7D1AA0A4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and ease of use, the influence of discomfort on perceived usefulness and ease of usage, the effect of uncertainty</w:t>
      </w:r>
    </w:p>
    <w:p w14:paraId="0191B1E9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on perceived usefulness and ease of use and the influence of perceived usefulness and ease of use on behavior.</w:t>
      </w:r>
    </w:p>
    <w:p w14:paraId="4D62F4B6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An online questionnaire survey was conducted among 255 faculty members of different private universities of</w:t>
      </w:r>
    </w:p>
    <w:p w14:paraId="6852C561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Bangladesh. The sample was chosen based on a convenience method. The responses were analyzed using</w:t>
      </w:r>
    </w:p>
    <w:p w14:paraId="4A6B08AF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partial least square (PLS) approach with the help of software Smart PLS 3.</w:t>
      </w:r>
    </w:p>
    <w:p w14:paraId="0738F16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Findings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The finding supported </w:t>
      </w:r>
      <w:proofErr w:type="gram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all of</w:t>
      </w:r>
      <w:proofErr w:type="gramEnd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 the hypotheses except that discomfort and insecurity have a positive</w:t>
      </w:r>
    </w:p>
    <w:p w14:paraId="2E90B483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relationship with ease of use and usefulness.</w:t>
      </w:r>
    </w:p>
    <w:p w14:paraId="0069C7C1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Research limitations/implications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The study will help faculty members in developing their competency</w:t>
      </w:r>
    </w:p>
    <w:p w14:paraId="7520F97F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in using technologies in their pedagogy. Also, this study will provide some guidelines to the university</w:t>
      </w:r>
    </w:p>
    <w:p w14:paraId="0D107ACC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management in developing adequate technological infrastructure to aid teaching.</w:t>
      </w:r>
    </w:p>
    <w:p w14:paraId="4C439723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Practical implications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The aim of the study was to investigate the faculty members</w:t>
      </w:r>
      <w:r w:rsidRPr="00714EA4">
        <w:rPr>
          <w:rFonts w:ascii="AdvOT8cb2ddbd+20" w:eastAsiaTheme="minorHAnsi" w:hAnsi="AdvOT8cb2ddbd+20" w:cs="AdvOT8cb2ddbd+20"/>
          <w:sz w:val="20"/>
          <w14:ligatures w14:val="standardContextual"/>
        </w:rPr>
        <w:t xml:space="preserve">’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readiness level with</w:t>
      </w:r>
    </w:p>
    <w:p w14:paraId="5809E7F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respect to online teaching. The technology assessment model (TAM) was used to determine the readiness</w:t>
      </w:r>
    </w:p>
    <w:p w14:paraId="0F13D44E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index. The study intended to validate the hypotheses regarding the extent to which the faculty members</w:t>
      </w:r>
    </w:p>
    <w:p w14:paraId="06C48051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perceived that TAM factors affect Ease of Use and Usefulness of online teaching. Also, this research analyzed</w:t>
      </w:r>
    </w:p>
    <w:p w14:paraId="3B7B5DF2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the perception of faculty members that Ease of Using online teaching affects its Usefulness. Lastly, the study</w:t>
      </w:r>
    </w:p>
    <w:p w14:paraId="06CFE17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examined how their perception of Ease of Use and Usefulness affect Intention to Use online as a mode of</w:t>
      </w:r>
    </w:p>
    <w:p w14:paraId="700834F7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teaching. It was found from the study that each of the TAM factors, Optimism, Innovativeness, Insecurity and</w:t>
      </w:r>
    </w:p>
    <w:p w14:paraId="05E4D92D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Discomfort has positive and significant contribution on the Ease of Use. On the other hand, Optimism,</w:t>
      </w:r>
    </w:p>
    <w:p w14:paraId="376C472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Innovativeness, Insecurity and Discomfort have positive and significant contributions on the Usefulness. The</w:t>
      </w:r>
    </w:p>
    <w:p w14:paraId="4FF15DCE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study also revealed that Ease of Use has positive and significant contribution on the Usefulness. Lastly, it was</w:t>
      </w:r>
    </w:p>
    <w:p w14:paraId="79A8971A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found that Ease of Use and Usefulness have positive and significant contribution on the Intention to use.</w:t>
      </w:r>
    </w:p>
    <w:p w14:paraId="53B9B688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Teaching remotely is still a novel concept, and it is more difficult for people who have not done it before. Many</w:t>
      </w:r>
    </w:p>
    <w:p w14:paraId="169C637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teachers became burned out </w:t>
      </w:r>
      <w:proofErr w:type="gram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as a result of</w:t>
      </w:r>
      <w:proofErr w:type="gramEnd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 trying to adjust to new teaching methods, especially after the</w:t>
      </w:r>
    </w:p>
    <w:p w14:paraId="089F85F9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lockdown began. They were having a difficult time since there was so much ambiguity. When a teacher is </w:t>
      </w:r>
      <w:proofErr w:type="spell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wellversed</w:t>
      </w:r>
      <w:proofErr w:type="spellEnd"/>
    </w:p>
    <w:p w14:paraId="6AE36377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in communication tools, it can improve learning efficiency. When they are properly trained, deploying</w:t>
      </w:r>
    </w:p>
    <w:p w14:paraId="6207D9DE" w14:textId="306BCD68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engaging features of virtual learning, such as audio-visual lessons, quizzes, and so on, becomes simple, </w:t>
      </w:r>
      <w:proofErr w:type="spell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andstudents</w:t>
      </w:r>
      <w:proofErr w:type="spellEnd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 become eager to learn more. Teachers can plan their classes, prepare and master technology and</w:t>
      </w:r>
    </w:p>
    <w:p w14:paraId="623DF536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create innovative and stimulating discussion topics (Mishra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2020). They need to utilize a variety of</w:t>
      </w:r>
    </w:p>
    <w:p w14:paraId="7DF4F11B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technological options. They can rehearse virtual classroom management with colleagues if they face any</w:t>
      </w:r>
    </w:p>
    <w:p w14:paraId="38D28681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difficulty. </w:t>
      </w:r>
      <w:proofErr w:type="gram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All of</w:t>
      </w:r>
      <w:proofErr w:type="gramEnd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 the aforementioned abilities can be honed with the assistance of an integrated academic</w:t>
      </w:r>
    </w:p>
    <w:p w14:paraId="7F7ED9B4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system. Teachers can be trained by educational institutions to ensure a smooth learning process through the</w:t>
      </w:r>
    </w:p>
    <w:p w14:paraId="4072BC3C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use of ICT (information and communication technologies) (Scherer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., 2021; Mishra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2020). The training</w:t>
      </w:r>
    </w:p>
    <w:p w14:paraId="0CAC2EBB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will assist teachers in efficiently taking online classes. Institutions should ensure that teachers are well-suited</w:t>
      </w:r>
    </w:p>
    <w:p w14:paraId="448962BF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to teach online and are skilled at keeping students engaged during remote learning. To make every chapter</w:t>
      </w:r>
    </w:p>
    <w:p w14:paraId="659E16AC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engaging, aspects such as videos, slides, images and digital copies of books and workbooks can be used. This</w:t>
      </w:r>
    </w:p>
    <w:p w14:paraId="7CD8A3CA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allows students to receive personalized support and counseling </w:t>
      </w:r>
      <w:proofErr w:type="gramStart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in order to</w:t>
      </w:r>
      <w:proofErr w:type="gramEnd"/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 maintain their motivation (Sahu</w:t>
      </w:r>
    </w:p>
    <w:p w14:paraId="1E107E63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., 2022; Lapitan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2021). Every other day, group doubt resolution classes ensure that there are no gaps in</w:t>
      </w:r>
    </w:p>
    <w:p w14:paraId="79CD5522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learning (Lapitan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2021). All teachers require is a digital mindset, the appropriate tools and a committed</w:t>
      </w:r>
    </w:p>
    <w:p w14:paraId="5547E9E5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approach (Sahu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2022). If teachers can hold their students</w:t>
      </w:r>
      <w:r w:rsidRPr="00714EA4">
        <w:rPr>
          <w:rFonts w:ascii="AdvOT8cb2ddbd+20" w:eastAsiaTheme="minorHAnsi" w:hAnsi="AdvOT8cb2ddbd+20" w:cs="AdvOT8cb2ddbd+20"/>
          <w:sz w:val="20"/>
          <w14:ligatures w14:val="standardContextual"/>
        </w:rPr>
        <w:t xml:space="preserve">’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attention, they can easily deliver an effective</w:t>
      </w:r>
    </w:p>
    <w:p w14:paraId="42E4C970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 xml:space="preserve">learning experience (Lapitan </w:t>
      </w:r>
      <w:r w:rsidRPr="00714EA4">
        <w:rPr>
          <w:rFonts w:ascii="AdvOT44ee9141.I" w:eastAsiaTheme="minorHAnsi" w:hAnsi="AdvOT44ee9141.I" w:cs="AdvOT44ee9141.I"/>
          <w:sz w:val="20"/>
          <w14:ligatures w14:val="standardContextual"/>
        </w:rPr>
        <w:t>et al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., 2021).</w:t>
      </w:r>
    </w:p>
    <w:p w14:paraId="5E109FF5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323a8e6c.B" w:eastAsiaTheme="minorHAnsi" w:hAnsi="AdvOT323a8e6c.B" w:cs="AdvOT323a8e6c.B"/>
          <w:sz w:val="20"/>
          <w14:ligatures w14:val="standardContextual"/>
        </w:rPr>
        <w:t xml:space="preserve">Originality/value </w:t>
      </w:r>
      <w:r w:rsidRPr="00714EA4">
        <w:rPr>
          <w:rFonts w:ascii="AdvTT5843c571+20" w:eastAsiaTheme="minorHAnsi" w:hAnsi="AdvTT5843c571+20" w:cs="AdvTT5843c571+20"/>
          <w:sz w:val="20"/>
          <w14:ligatures w14:val="standardContextual"/>
        </w:rPr>
        <w:t xml:space="preserve">–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This study was conducted to identify technological preparedness of faculty members of</w:t>
      </w:r>
    </w:p>
    <w:p w14:paraId="3ED564C7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private universities in Bangladesh during COVID-19 period. Some studies were there to assess such kind of</w:t>
      </w:r>
    </w:p>
    <w:p w14:paraId="1B87F9EA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preparedness but none of those used TAM and technology readiness model either in isolation or in</w:t>
      </w:r>
    </w:p>
    <w:p w14:paraId="4A8B54C2" w14:textId="77777777" w:rsidR="00714EA4" w:rsidRPr="00714EA4" w:rsidRDefault="00714EA4" w:rsidP="00714EA4">
      <w:pPr>
        <w:autoSpaceDE w:val="0"/>
        <w:autoSpaceDN w:val="0"/>
        <w:adjustRightInd w:val="0"/>
        <w:rPr>
          <w:rFonts w:ascii="AdvOT8cb2ddbd" w:eastAsiaTheme="minorHAnsi" w:hAnsi="AdvOT8cb2ddbd" w:cs="AdvOT8cb2ddbd"/>
          <w:sz w:val="20"/>
          <w14:ligatures w14:val="standardContextual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lastRenderedPageBreak/>
        <w:t>combination. Also, this paper focused on teachers</w:t>
      </w:r>
      <w:r w:rsidRPr="00714EA4">
        <w:rPr>
          <w:rFonts w:ascii="AdvOT8cb2ddbd+20" w:eastAsiaTheme="minorHAnsi" w:hAnsi="AdvOT8cb2ddbd+20" w:cs="AdvOT8cb2ddbd+20"/>
          <w:sz w:val="20"/>
          <w14:ligatures w14:val="standardContextual"/>
        </w:rPr>
        <w:t xml:space="preserve">’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readiness in contrast to students</w:t>
      </w:r>
      <w:r w:rsidRPr="00714EA4">
        <w:rPr>
          <w:rFonts w:ascii="AdvOT8cb2ddbd+20" w:eastAsiaTheme="minorHAnsi" w:hAnsi="AdvOT8cb2ddbd+20" w:cs="AdvOT8cb2ddbd+20"/>
          <w:sz w:val="20"/>
          <w14:ligatures w14:val="standardContextual"/>
        </w:rPr>
        <w:t xml:space="preserve">’ </w:t>
      </w: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readiness specific to</w:t>
      </w:r>
    </w:p>
    <w:p w14:paraId="7E819E35" w14:textId="5E3F6CA5" w:rsidR="003D36BC" w:rsidRPr="00714EA4" w:rsidRDefault="00714EA4" w:rsidP="00714EA4">
      <w:pPr>
        <w:rPr>
          <w:sz w:val="32"/>
          <w:szCs w:val="24"/>
        </w:rPr>
      </w:pPr>
      <w:r w:rsidRPr="00714EA4">
        <w:rPr>
          <w:rFonts w:ascii="AdvOT8cb2ddbd" w:eastAsiaTheme="minorHAnsi" w:hAnsi="AdvOT8cb2ddbd" w:cs="AdvOT8cb2ddbd"/>
          <w:sz w:val="20"/>
          <w14:ligatures w14:val="standardContextual"/>
        </w:rPr>
        <w:t>private universities.</w:t>
      </w:r>
    </w:p>
    <w:sectPr w:rsidR="003D36BC" w:rsidRPr="00714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vOT323a8e6c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cb2ddb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843c57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cb2ddbd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44ee9141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BC"/>
    <w:rsid w:val="003813E5"/>
    <w:rsid w:val="003D36BC"/>
    <w:rsid w:val="007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EE51"/>
  <w15:chartTrackingRefBased/>
  <w15:docId w15:val="{D74ABE2E-F3EA-4326-A27B-563268A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A4"/>
    <w:pPr>
      <w:spacing w:after="0" w:line="240" w:lineRule="auto"/>
      <w:jc w:val="both"/>
    </w:pPr>
    <w:rPr>
      <w:rFonts w:ascii="Times New Roman" w:eastAsia="Calibri" w:hAnsi="Times New Roman" w:cs="Arial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6B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6B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6B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6B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6B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6B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6B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6B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6B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6B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6B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6B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3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6B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3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Bikash Barua</dc:creator>
  <cp:keywords/>
  <dc:description/>
  <cp:lastModifiedBy>Dr. Bikash Barua</cp:lastModifiedBy>
  <cp:revision>2</cp:revision>
  <dcterms:created xsi:type="dcterms:W3CDTF">2024-07-04T14:17:00Z</dcterms:created>
  <dcterms:modified xsi:type="dcterms:W3CDTF">2024-07-04T14:19:00Z</dcterms:modified>
</cp:coreProperties>
</file>