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0C0DFC" w14:textId="77777777" w:rsidR="00A17EDF" w:rsidRDefault="00A17EDF">
      <w:pPr>
        <w:rPr>
          <w:rFonts w:cstheme="minorHAnsi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752"/>
      </w:tblGrid>
      <w:tr w:rsidR="00A17EDF" w:rsidRPr="00A17EDF" w14:paraId="7BD01D26" w14:textId="77777777" w:rsidTr="00B46A51">
        <w:trPr>
          <w:trHeight w:val="615"/>
        </w:trPr>
        <w:tc>
          <w:tcPr>
            <w:tcW w:w="1257" w:type="pct"/>
          </w:tcPr>
          <w:p w14:paraId="18818119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Title</w:t>
            </w:r>
          </w:p>
        </w:tc>
        <w:tc>
          <w:tcPr>
            <w:tcW w:w="3743" w:type="pct"/>
            <w:tcBorders>
              <w:top w:val="single" w:sz="18" w:space="0" w:color="007F00"/>
              <w:bottom w:val="single" w:sz="4" w:space="0" w:color="007F00"/>
            </w:tcBorders>
          </w:tcPr>
          <w:p w14:paraId="3B425BFF" w14:textId="33847487" w:rsidR="00A17EDF" w:rsidRPr="00A17EDF" w:rsidRDefault="00F521D0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bookmarkStart w:id="0" w:name="_Hlk170166275"/>
            <w:r w:rsidRPr="00E97B53">
              <w:rPr>
                <w:rFonts w:ascii="Palatino Linotype" w:hAnsi="Palatino Linotype"/>
                <w:bCs/>
                <w:sz w:val="22"/>
                <w:szCs w:val="22"/>
              </w:rPr>
              <w:t>Impact of Intellectual Capital on Profitability – Conventional versus Islamic Banks.</w:t>
            </w:r>
            <w:bookmarkEnd w:id="0"/>
          </w:p>
        </w:tc>
      </w:tr>
      <w:tr w:rsidR="00A17EDF" w:rsidRPr="00A17EDF" w14:paraId="1D2852A5" w14:textId="77777777" w:rsidTr="00B46A51">
        <w:trPr>
          <w:trHeight w:val="615"/>
        </w:trPr>
        <w:tc>
          <w:tcPr>
            <w:tcW w:w="1257" w:type="pct"/>
          </w:tcPr>
          <w:p w14:paraId="79FB4100" w14:textId="351CF2A0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Author(s)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8321" w14:textId="3FEF2333" w:rsidR="00A17EDF" w:rsidRPr="00A17EDF" w:rsidRDefault="00A64623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Rashedul Ha</w:t>
            </w:r>
            <w:r w:rsidR="00221805">
              <w:rPr>
                <w:rFonts w:ascii="Segoe UI" w:hAnsi="Segoe UI" w:cs="Segoe UI"/>
                <w:sz w:val="24"/>
                <w:szCs w:val="24"/>
              </w:rPr>
              <w:t xml:space="preserve">san, Niaz Mohammad and </w:t>
            </w:r>
            <w:r w:rsidR="00754C3E" w:rsidRPr="00754C3E">
              <w:rPr>
                <w:rFonts w:ascii="Segoe UI" w:hAnsi="Segoe UI" w:cs="Segoe UI"/>
                <w:sz w:val="24"/>
                <w:szCs w:val="24"/>
              </w:rPr>
              <w:t>Mohammad Faridul Alam</w:t>
            </w:r>
          </w:p>
        </w:tc>
      </w:tr>
      <w:tr w:rsidR="00A17EDF" w:rsidRPr="00A17EDF" w14:paraId="11851DF2" w14:textId="77777777" w:rsidTr="00B46A51">
        <w:trPr>
          <w:trHeight w:val="615"/>
        </w:trPr>
        <w:tc>
          <w:tcPr>
            <w:tcW w:w="1257" w:type="pct"/>
          </w:tcPr>
          <w:p w14:paraId="2EF74CA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Contact Email(s)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04350F1" w14:textId="1EDF9134" w:rsidR="00A17EDF" w:rsidRPr="00A17EDF" w:rsidRDefault="00032EE6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m</w:t>
            </w:r>
            <w:r w:rsidR="006D5827">
              <w:rPr>
                <w:rFonts w:ascii="Segoe UI" w:hAnsi="Segoe UI" w:cs="Segoe UI"/>
                <w:sz w:val="24"/>
                <w:szCs w:val="24"/>
              </w:rPr>
              <w:t>f</w:t>
            </w:r>
            <w:r>
              <w:rPr>
                <w:rFonts w:ascii="Segoe UI" w:hAnsi="Segoe UI" w:cs="Segoe UI"/>
                <w:sz w:val="24"/>
                <w:szCs w:val="24"/>
              </w:rPr>
              <w:t>.alam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@aiub.edu</w:t>
            </w:r>
          </w:p>
        </w:tc>
      </w:tr>
      <w:tr w:rsidR="00A17EDF" w:rsidRPr="00A17EDF" w14:paraId="43B2CD96" w14:textId="77777777" w:rsidTr="00B46A51">
        <w:trPr>
          <w:trHeight w:val="615"/>
        </w:trPr>
        <w:tc>
          <w:tcPr>
            <w:tcW w:w="1257" w:type="pct"/>
          </w:tcPr>
          <w:p w14:paraId="3ADA9213" w14:textId="6F4482CF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Published Journal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E22AF7A" w14:textId="40A9DCFE" w:rsidR="00A17EDF" w:rsidRPr="00A17EDF" w:rsidRDefault="00CD6564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bookmarkStart w:id="1" w:name="_Hlk170166009"/>
            <w:r w:rsidRPr="009C5E64">
              <w:rPr>
                <w:rFonts w:ascii="Cambria" w:hAnsi="Cambria"/>
                <w:i/>
                <w:iCs/>
                <w:sz w:val="22"/>
                <w:szCs w:val="22"/>
              </w:rPr>
              <w:t xml:space="preserve">Journal of Accounting, Finance </w:t>
            </w:r>
            <w:r>
              <w:rPr>
                <w:rFonts w:ascii="Cambria" w:hAnsi="Cambria"/>
                <w:i/>
                <w:iCs/>
                <w:sz w:val="22"/>
                <w:szCs w:val="22"/>
              </w:rPr>
              <w:t>a</w:t>
            </w:r>
            <w:r w:rsidRPr="009C5E64">
              <w:rPr>
                <w:rFonts w:ascii="Cambria" w:hAnsi="Cambria"/>
                <w:i/>
                <w:iCs/>
                <w:sz w:val="22"/>
                <w:szCs w:val="22"/>
              </w:rPr>
              <w:t>nd Auditing Studies</w:t>
            </w:r>
            <w:bookmarkEnd w:id="1"/>
          </w:p>
        </w:tc>
      </w:tr>
      <w:tr w:rsidR="00A17EDF" w:rsidRPr="00A17EDF" w14:paraId="24725965" w14:textId="77777777" w:rsidTr="00B46A51">
        <w:trPr>
          <w:trHeight w:val="615"/>
        </w:trPr>
        <w:tc>
          <w:tcPr>
            <w:tcW w:w="1257" w:type="pct"/>
          </w:tcPr>
          <w:p w14:paraId="3D85CD7B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Type of Publication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128C74B" w14:textId="77777777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A17EDF">
              <w:rPr>
                <w:rFonts w:ascii="Segoe UI" w:hAnsi="Segoe UI" w:cs="Segoe UI"/>
                <w:sz w:val="24"/>
                <w:szCs w:val="24"/>
              </w:rPr>
              <w:t>Journal</w:t>
            </w:r>
          </w:p>
        </w:tc>
      </w:tr>
      <w:tr w:rsidR="00A17EDF" w:rsidRPr="00A17EDF" w14:paraId="0DE69A3A" w14:textId="77777777" w:rsidTr="00B46A51">
        <w:trPr>
          <w:trHeight w:val="615"/>
        </w:trPr>
        <w:tc>
          <w:tcPr>
            <w:tcW w:w="1257" w:type="pct"/>
          </w:tcPr>
          <w:p w14:paraId="51DC46AA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Volume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40BA5DB" w14:textId="1FD2E56B" w:rsidR="00A17EDF" w:rsidRPr="00A17EDF" w:rsidRDefault="00561703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</w:tr>
      <w:tr w:rsidR="00A17EDF" w:rsidRPr="00A17EDF" w14:paraId="3E30FB1F" w14:textId="77777777" w:rsidTr="00B46A51">
        <w:trPr>
          <w:trHeight w:val="615"/>
        </w:trPr>
        <w:tc>
          <w:tcPr>
            <w:tcW w:w="1257" w:type="pct"/>
          </w:tcPr>
          <w:p w14:paraId="5E716DD0" w14:textId="318664D2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Issue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08EB7E1" w14:textId="480FC7D7" w:rsidR="00A17EDF" w:rsidRPr="00A17EDF" w:rsidRDefault="00561703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</w:tr>
      <w:tr w:rsidR="00A17EDF" w:rsidRPr="00A17EDF" w14:paraId="164AE3B7" w14:textId="77777777" w:rsidTr="00B46A51">
        <w:trPr>
          <w:trHeight w:val="615"/>
        </w:trPr>
        <w:tc>
          <w:tcPr>
            <w:tcW w:w="1257" w:type="pct"/>
          </w:tcPr>
          <w:p w14:paraId="62B76A7A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Publisher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17CA822" w14:textId="77C17B92" w:rsidR="00A17EDF" w:rsidRPr="00A17EDF" w:rsidRDefault="00A92769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Droid Sans" w:hAnsi="Droid Sans"/>
                <w:color w:val="333333"/>
                <w:sz w:val="20"/>
                <w:szCs w:val="20"/>
                <w:shd w:val="clear" w:color="auto" w:fill="FFFFFF"/>
              </w:rPr>
              <w:t>Istanbul Business Academy</w:t>
            </w:r>
          </w:p>
        </w:tc>
      </w:tr>
      <w:tr w:rsidR="00A17EDF" w:rsidRPr="00A17EDF" w14:paraId="7E0F69B9" w14:textId="77777777" w:rsidTr="00B46A51">
        <w:trPr>
          <w:trHeight w:val="615"/>
        </w:trPr>
        <w:tc>
          <w:tcPr>
            <w:tcW w:w="1257" w:type="pct"/>
          </w:tcPr>
          <w:p w14:paraId="520EA245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Publication Date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741327" w14:textId="721B09B5" w:rsidR="00A17EDF" w:rsidRPr="00A17EDF" w:rsidRDefault="00EB6916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April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, 20</w:t>
            </w:r>
            <w:r w:rsidR="00856C58">
              <w:rPr>
                <w:rFonts w:ascii="Segoe UI" w:hAnsi="Segoe UI" w:cs="Segoe UI"/>
                <w:sz w:val="24"/>
                <w:szCs w:val="24"/>
              </w:rPr>
              <w:t>1</w:t>
            </w:r>
            <w:r w:rsidR="0065484B">
              <w:rPr>
                <w:rFonts w:ascii="Segoe UI" w:hAnsi="Segoe UI" w:cs="Segoe UI"/>
                <w:sz w:val="24"/>
                <w:szCs w:val="24"/>
              </w:rPr>
              <w:t>7</w:t>
            </w:r>
          </w:p>
        </w:tc>
      </w:tr>
      <w:tr w:rsidR="00A17EDF" w:rsidRPr="00A17EDF" w14:paraId="0F93F891" w14:textId="77777777" w:rsidTr="00B46A51">
        <w:trPr>
          <w:trHeight w:val="615"/>
        </w:trPr>
        <w:tc>
          <w:tcPr>
            <w:tcW w:w="1257" w:type="pct"/>
          </w:tcPr>
          <w:p w14:paraId="3057E501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2883" w14:textId="6188042B" w:rsidR="00A17EDF" w:rsidRPr="00A17EDF" w:rsidRDefault="0030161C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E97B53">
              <w:rPr>
                <w:rFonts w:ascii="Cambria" w:hAnsi="Cambria"/>
                <w:sz w:val="22"/>
                <w:szCs w:val="22"/>
              </w:rPr>
              <w:t>2149-0996</w:t>
            </w:r>
          </w:p>
        </w:tc>
      </w:tr>
      <w:tr w:rsidR="00A17EDF" w:rsidRPr="00A17EDF" w14:paraId="642FCF58" w14:textId="77777777" w:rsidTr="00B46A51">
        <w:trPr>
          <w:trHeight w:val="615"/>
        </w:trPr>
        <w:tc>
          <w:tcPr>
            <w:tcW w:w="1257" w:type="pct"/>
          </w:tcPr>
          <w:p w14:paraId="3AB39763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DOI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C37A19" w14:textId="133DD88A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2D75E798" w14:textId="77777777" w:rsidTr="00B46A51">
        <w:trPr>
          <w:trHeight w:val="615"/>
        </w:trPr>
        <w:tc>
          <w:tcPr>
            <w:tcW w:w="1257" w:type="pct"/>
          </w:tcPr>
          <w:p w14:paraId="1932610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URL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CC00468" w14:textId="406588FA" w:rsidR="00A17EDF" w:rsidRPr="00A17EDF" w:rsidRDefault="00EC5979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720C05">
              <w:rPr>
                <w:rFonts w:ascii="Cambria" w:hAnsi="Cambria"/>
                <w:sz w:val="22"/>
                <w:szCs w:val="22"/>
              </w:rPr>
              <w:t>https://jafas.org/articles/2017-3-2/4_Intellectual_Capital_FULL_TEXT.pdf</w:t>
            </w:r>
          </w:p>
        </w:tc>
      </w:tr>
      <w:tr w:rsidR="00A17EDF" w:rsidRPr="00A17EDF" w14:paraId="12288075" w14:textId="77777777" w:rsidTr="00B46A51">
        <w:trPr>
          <w:trHeight w:val="615"/>
        </w:trPr>
        <w:tc>
          <w:tcPr>
            <w:tcW w:w="1257" w:type="pct"/>
          </w:tcPr>
          <w:p w14:paraId="1F427595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Other Related Info.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3A593EB" w14:textId="663D5C0D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562E3AF5" w14:textId="77777777" w:rsidTr="00B46A51">
        <w:trPr>
          <w:trHeight w:val="1186"/>
        </w:trPr>
        <w:tc>
          <w:tcPr>
            <w:tcW w:w="1257" w:type="pct"/>
          </w:tcPr>
          <w:p w14:paraId="36D4B310" w14:textId="7E218346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Keywords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8E64D3F" w14:textId="36DE1B8E" w:rsidR="00A17EDF" w:rsidRPr="00A17EDF" w:rsidRDefault="004265E0" w:rsidP="0021153F">
            <w:pPr>
              <w:spacing w:before="60" w:after="60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4265E0">
              <w:rPr>
                <w:rFonts w:ascii="ArialMT" w:hAnsi="ArialMT"/>
                <w:color w:val="000000"/>
                <w:sz w:val="24"/>
                <w:szCs w:val="24"/>
              </w:rPr>
              <w:t>Intellectual Capital,</w:t>
            </w:r>
            <w:r>
              <w:rPr>
                <w:rFonts w:ascii="ArialMT" w:hAnsi="ArialMT"/>
                <w:color w:val="000000"/>
                <w:sz w:val="24"/>
                <w:szCs w:val="24"/>
              </w:rPr>
              <w:t xml:space="preserve"> </w:t>
            </w:r>
            <w:r w:rsidRPr="004265E0">
              <w:rPr>
                <w:rFonts w:ascii="ArialMT" w:hAnsi="ArialMT"/>
                <w:color w:val="000000"/>
                <w:sz w:val="24"/>
                <w:szCs w:val="24"/>
              </w:rPr>
              <w:t>VAIC, Islamic Banks,</w:t>
            </w:r>
            <w:r>
              <w:rPr>
                <w:rFonts w:ascii="ArialMT" w:hAnsi="ArialMT"/>
                <w:color w:val="000000"/>
                <w:sz w:val="24"/>
                <w:szCs w:val="24"/>
              </w:rPr>
              <w:t xml:space="preserve"> </w:t>
            </w:r>
            <w:r w:rsidRPr="004265E0">
              <w:rPr>
                <w:rFonts w:ascii="ArialMT" w:hAnsi="ArialMT"/>
                <w:color w:val="000000"/>
                <w:sz w:val="24"/>
                <w:szCs w:val="24"/>
              </w:rPr>
              <w:t>Conventional Banks,</w:t>
            </w:r>
            <w:r>
              <w:rPr>
                <w:rFonts w:ascii="ArialMT" w:hAnsi="ArialMT"/>
                <w:color w:val="000000"/>
                <w:sz w:val="24"/>
                <w:szCs w:val="24"/>
              </w:rPr>
              <w:t xml:space="preserve"> </w:t>
            </w:r>
            <w:r w:rsidRPr="004265E0">
              <w:rPr>
                <w:rFonts w:ascii="ArialMT" w:hAnsi="ArialMT"/>
                <w:color w:val="000000"/>
                <w:sz w:val="24"/>
                <w:szCs w:val="24"/>
              </w:rPr>
              <w:t>Profitability.</w:t>
            </w:r>
          </w:p>
        </w:tc>
      </w:tr>
      <w:tr w:rsidR="00A17EDF" w:rsidRPr="00A17EDF" w14:paraId="326B3683" w14:textId="77777777" w:rsidTr="00B46A51">
        <w:trPr>
          <w:trHeight w:val="1186"/>
        </w:trPr>
        <w:tc>
          <w:tcPr>
            <w:tcW w:w="1257" w:type="pct"/>
          </w:tcPr>
          <w:p w14:paraId="4698B760" w14:textId="66B61109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Citation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18" w:space="0" w:color="007F00"/>
            </w:tcBorders>
          </w:tcPr>
          <w:p w14:paraId="6BBFA6B4" w14:textId="7644CC30" w:rsidR="00A17EDF" w:rsidRPr="0020268D" w:rsidRDefault="00C33881" w:rsidP="0020268D">
            <w:pPr>
              <w:spacing w:before="60" w:after="60"/>
              <w:rPr>
                <w:rFonts w:ascii="Segoe UI Light" w:hAnsi="Segoe UI Light" w:cs="Segoe UI Light"/>
                <w:sz w:val="22"/>
                <w:szCs w:val="22"/>
              </w:rPr>
            </w:pPr>
            <w:r w:rsidRPr="00C33881">
              <w:rPr>
                <w:rFonts w:ascii="Segoe UI Light" w:hAnsi="Segoe UI Light" w:cs="Segoe UI Light"/>
                <w:sz w:val="22"/>
                <w:szCs w:val="22"/>
              </w:rPr>
              <w:t>Hasan, R., Mohammad, N., &amp; Alam, M. F. (2017). Impact of Intellectual Capital on Profitability – Conventional versus Islamic Banks. Journal of Accounting, Finance and Auditing Studies,</w:t>
            </w:r>
            <w:r>
              <w:rPr>
                <w:rFonts w:ascii="Segoe UI Light" w:hAnsi="Segoe UI Light" w:cs="Segoe UI Light"/>
                <w:sz w:val="22"/>
                <w:szCs w:val="22"/>
              </w:rPr>
              <w:t xml:space="preserve"> </w:t>
            </w:r>
            <w:r w:rsidRPr="00C33881">
              <w:rPr>
                <w:rFonts w:ascii="Segoe UI Light" w:hAnsi="Segoe UI Light" w:cs="Segoe UI Light"/>
                <w:sz w:val="22"/>
                <w:szCs w:val="22"/>
              </w:rPr>
              <w:t>03(02), 64-80.</w:t>
            </w:r>
          </w:p>
        </w:tc>
      </w:tr>
    </w:tbl>
    <w:p w14:paraId="368EFAEB" w14:textId="4703E243" w:rsidR="00852B20" w:rsidRPr="00DA5122" w:rsidRDefault="00852B20">
      <w:pPr>
        <w:rPr>
          <w:rFonts w:cstheme="minorHAnsi"/>
        </w:rPr>
      </w:pPr>
      <w:r w:rsidRPr="00DA5122">
        <w:rPr>
          <w:rFonts w:cstheme="minorHAnsi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0"/>
      </w:tblGrid>
      <w:tr w:rsidR="00D77F1B" w:rsidRPr="00D77F1B" w14:paraId="5DCF01B1" w14:textId="77777777" w:rsidTr="00B46A51">
        <w:tc>
          <w:tcPr>
            <w:tcW w:w="5000" w:type="pct"/>
            <w:tcBorders>
              <w:bottom w:val="single" w:sz="18" w:space="0" w:color="007F00"/>
            </w:tcBorders>
          </w:tcPr>
          <w:p w14:paraId="6FD8735F" w14:textId="137A62A5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lastRenderedPageBreak/>
              <w:t>Abstract</w:t>
            </w:r>
          </w:p>
        </w:tc>
      </w:tr>
      <w:tr w:rsidR="00D77F1B" w:rsidRPr="00D77F1B" w14:paraId="0A38678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6980B8A4" w14:textId="3AAD6638" w:rsidR="00D77F1B" w:rsidRPr="00257BA9" w:rsidRDefault="00870542" w:rsidP="00AF784C">
            <w:pPr>
              <w:spacing w:before="60" w:after="60"/>
              <w:jc w:val="both"/>
              <w:rPr>
                <w:rFonts w:ascii="Open Sans" w:hAnsi="Open Sans" w:cs="Open Sans"/>
                <w:color w:val="333333"/>
                <w:sz w:val="26"/>
                <w:szCs w:val="26"/>
              </w:rPr>
            </w:pPr>
            <w:r w:rsidRPr="00870542">
              <w:rPr>
                <w:rFonts w:ascii="Open Sans" w:hAnsi="Open Sans" w:cs="Open Sans"/>
                <w:color w:val="333333"/>
                <w:sz w:val="26"/>
                <w:szCs w:val="26"/>
              </w:rPr>
              <w:t>Intellectual capital has been found to have a significant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870542">
              <w:rPr>
                <w:rFonts w:ascii="Open Sans" w:hAnsi="Open Sans" w:cs="Open Sans"/>
                <w:color w:val="333333"/>
                <w:sz w:val="26"/>
                <w:szCs w:val="26"/>
              </w:rPr>
              <w:t>association with profitability in the financial sector of</w:t>
            </w:r>
            <w:r w:rsidRPr="00870542">
              <w:rPr>
                <w:rFonts w:ascii="Open Sans" w:hAnsi="Open Sans" w:cs="Open Sans"/>
                <w:color w:val="333333"/>
                <w:sz w:val="26"/>
                <w:szCs w:val="26"/>
              </w:rPr>
              <w:cr/>
              <w:t>various parts of the world. As a result, this study aims to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870542">
              <w:rPr>
                <w:rFonts w:ascii="Open Sans" w:hAnsi="Open Sans" w:cs="Open Sans"/>
                <w:color w:val="333333"/>
                <w:sz w:val="26"/>
                <w:szCs w:val="26"/>
              </w:rPr>
              <w:t>empirically investigate the relationship between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870542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intellectual capital and financial performance of </w:t>
            </w:r>
            <w:r w:rsidRPr="00870542">
              <w:rPr>
                <w:rFonts w:ascii="Open Sans" w:hAnsi="Open Sans" w:cs="Open Sans"/>
                <w:color w:val="333333"/>
                <w:sz w:val="26"/>
                <w:szCs w:val="26"/>
              </w:rPr>
              <w:t>twenty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>-seven</w:t>
            </w:r>
            <w:r w:rsidRPr="00870542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private commercial banks for the year 2013 in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870542">
              <w:rPr>
                <w:rFonts w:ascii="Open Sans" w:hAnsi="Open Sans" w:cs="Open Sans"/>
                <w:color w:val="333333"/>
                <w:sz w:val="26"/>
                <w:szCs w:val="26"/>
              </w:rPr>
              <w:t>Bangladesh. Annual reports for the relevant year of the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870542">
              <w:rPr>
                <w:rFonts w:ascii="Open Sans" w:hAnsi="Open Sans" w:cs="Open Sans"/>
                <w:color w:val="333333"/>
                <w:sz w:val="26"/>
                <w:szCs w:val="26"/>
              </w:rPr>
              <w:t>selected banks have been used to gather secondary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870542">
              <w:rPr>
                <w:rFonts w:ascii="Open Sans" w:hAnsi="Open Sans" w:cs="Open Sans"/>
                <w:color w:val="333333"/>
                <w:sz w:val="26"/>
                <w:szCs w:val="26"/>
              </w:rPr>
              <w:t>information for the empirical models based on Pulic’s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870542">
              <w:rPr>
                <w:rFonts w:ascii="Open Sans" w:hAnsi="Open Sans" w:cs="Open Sans"/>
                <w:color w:val="333333"/>
                <w:sz w:val="26"/>
                <w:szCs w:val="26"/>
              </w:rPr>
              <w:t>VAIC model. Stepwise regression was performed for the</w:t>
            </w:r>
            <w:r w:rsidRPr="00870542">
              <w:rPr>
                <w:rFonts w:ascii="Open Sans" w:hAnsi="Open Sans" w:cs="Open Sans"/>
                <w:color w:val="333333"/>
                <w:sz w:val="26"/>
                <w:szCs w:val="26"/>
              </w:rPr>
              <w:cr/>
              <w:t>full sample, conventional and Islamic banks separately.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870542">
              <w:rPr>
                <w:rFonts w:ascii="Open Sans" w:hAnsi="Open Sans" w:cs="Open Sans"/>
                <w:color w:val="333333"/>
                <w:sz w:val="26"/>
                <w:szCs w:val="26"/>
              </w:rPr>
              <w:t>The analysis indicates that both VIAC and its components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870542">
              <w:rPr>
                <w:rFonts w:ascii="Open Sans" w:hAnsi="Open Sans" w:cs="Open Sans"/>
                <w:color w:val="333333"/>
                <w:sz w:val="26"/>
                <w:szCs w:val="26"/>
              </w:rPr>
              <w:t>have a significant association with profitability. Results for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870542">
              <w:rPr>
                <w:rFonts w:ascii="Open Sans" w:hAnsi="Open Sans" w:cs="Open Sans"/>
                <w:color w:val="333333"/>
                <w:sz w:val="26"/>
                <w:szCs w:val="26"/>
              </w:rPr>
              <w:t>conventional and Islamic banks established different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870542">
              <w:rPr>
                <w:rFonts w:ascii="Open Sans" w:hAnsi="Open Sans" w:cs="Open Sans"/>
                <w:color w:val="333333"/>
                <w:sz w:val="26"/>
                <w:szCs w:val="26"/>
              </w:rPr>
              <w:t>components of VIAC as a significant predictor of bank’s</w:t>
            </w:r>
            <w:r w:rsidRPr="00870542">
              <w:rPr>
                <w:rFonts w:ascii="Open Sans" w:hAnsi="Open Sans" w:cs="Open Sans"/>
                <w:color w:val="333333"/>
                <w:sz w:val="26"/>
                <w:szCs w:val="26"/>
              </w:rPr>
              <w:cr/>
              <w:t>profitability. A future study including all financial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870542">
              <w:rPr>
                <w:rFonts w:ascii="Open Sans" w:hAnsi="Open Sans" w:cs="Open Sans"/>
                <w:color w:val="333333"/>
                <w:sz w:val="26"/>
                <w:szCs w:val="26"/>
              </w:rPr>
              <w:t>institutions could provide a better estimate of the impact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870542">
              <w:rPr>
                <w:rFonts w:ascii="Open Sans" w:hAnsi="Open Sans" w:cs="Open Sans"/>
                <w:color w:val="333333"/>
                <w:sz w:val="26"/>
                <w:szCs w:val="26"/>
              </w:rPr>
              <w:t>of intellectual capital on profitability for the finance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870542">
              <w:rPr>
                <w:rFonts w:ascii="Open Sans" w:hAnsi="Open Sans" w:cs="Open Sans"/>
                <w:color w:val="333333"/>
                <w:sz w:val="26"/>
                <w:szCs w:val="26"/>
              </w:rPr>
              <w:t>sector.</w:t>
            </w:r>
          </w:p>
        </w:tc>
      </w:tr>
      <w:tr w:rsidR="00D77F1B" w:rsidRPr="00D77F1B" w14:paraId="483E412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0A390CAC" w14:textId="77777777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</w:p>
          <w:p w14:paraId="30E7D0B3" w14:textId="01B8D089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Sustainable Development Goal(s) (SDG)</w:t>
            </w:r>
          </w:p>
        </w:tc>
      </w:tr>
      <w:tr w:rsidR="00D77F1B" w:rsidRPr="00D77F1B" w14:paraId="4EF1D0F2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1755BAF4" w14:textId="4C214B4F" w:rsidR="00D77F1B" w:rsidRPr="00D77F1B" w:rsidRDefault="00912136" w:rsidP="00D77F1B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Decent Work and Economic Growth</w:t>
            </w:r>
          </w:p>
        </w:tc>
      </w:tr>
    </w:tbl>
    <w:p w14:paraId="191A99B7" w14:textId="77777777" w:rsidR="00A17EDF" w:rsidRDefault="00A17EDF">
      <w:pPr>
        <w:rPr>
          <w:rFonts w:cstheme="minorHAnsi"/>
        </w:rPr>
      </w:pPr>
    </w:p>
    <w:p w14:paraId="120F4C04" w14:textId="77777777" w:rsidR="00A17EDF" w:rsidRPr="00DA5122" w:rsidRDefault="00A17EDF">
      <w:pPr>
        <w:rPr>
          <w:rFonts w:cstheme="minorHAnsi"/>
        </w:rPr>
      </w:pPr>
    </w:p>
    <w:sectPr w:rsidR="00A17EDF" w:rsidRPr="00DA5122" w:rsidSect="00B46A51">
      <w:headerReference w:type="default" r:id="rId11"/>
      <w:footerReference w:type="default" r:id="rId12"/>
      <w:pgSz w:w="11900" w:h="16840"/>
      <w:pgMar w:top="1440" w:right="1440" w:bottom="1008" w:left="1440" w:header="0" w:footer="1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2E5964" w14:textId="77777777" w:rsidR="00BA5663" w:rsidRDefault="00BA5663" w:rsidP="00C9238F">
      <w:pPr>
        <w:spacing w:after="0" w:line="240" w:lineRule="auto"/>
      </w:pPr>
      <w:r>
        <w:separator/>
      </w:r>
    </w:p>
  </w:endnote>
  <w:endnote w:type="continuationSeparator" w:id="0">
    <w:p w14:paraId="534484E5" w14:textId="77777777" w:rsidR="00BA5663" w:rsidRDefault="00BA566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B641722-FF2E-40BF-9C2B-DD96D479448F}"/>
    <w:embedBold r:id="rId2" w:fontKey="{2BD22414-7E02-4019-A07A-4C022475C627}"/>
    <w:embedItalic r:id="rId3" w:fontKey="{2511AE85-24F4-4C92-91D4-1D423971806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304E4A6-4C6A-4EF3-84A0-0270A0A9649D}"/>
    <w:embedBold r:id="rId5" w:fontKey="{340DA023-4D97-48D5-90EE-A6B2F4D95B7D}"/>
    <w:embedItalic r:id="rId6" w:fontKey="{07298C34-4401-4A81-B89C-1F37CD711086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BA5826FC-E85E-4219-B423-C13D5B510A39}"/>
    <w:embedBold r:id="rId8" w:fontKey="{B235A80E-59E8-4455-B84A-73CDE884459A}"/>
    <w:embedItalic r:id="rId9" w:fontKey="{F30C9B9E-81D7-4812-B604-6D31AC97719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35AA9C3D-9128-4CB9-89C2-FF9535C7AB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BFC609B6-BC1F-4006-B46D-98952390FD28}"/>
    <w:embedBold r:id="rId12" w:fontKey="{1A073709-E23E-49D7-A479-6E46F5CC08C4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3" w:fontKey="{D2233E72-F500-4D97-861E-D7D5F70DF5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99FE1C1B-64B5-432D-BD50-A42E0D289754}"/>
    <w:embedItalic r:id="rId15" w:fontKey="{CEB0D861-C626-46EB-8261-CA4EC5E64BDE}"/>
  </w:font>
  <w:font w:name="Droid Sans">
    <w:altName w:val="Segoe UI"/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00"/>
    <w:family w:val="roman"/>
    <w:notTrueType/>
    <w:pitch w:val="default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BC9284C1-3574-4EE6-96EE-E61FC80AC67E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7" w:fontKey="{B098E9DF-EB41-42FD-8C49-B89B206A59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90" w:type="dxa"/>
      <w:tblLook w:val="04A0" w:firstRow="1" w:lastRow="0" w:firstColumn="1" w:lastColumn="0" w:noHBand="0" w:noVBand="1"/>
    </w:tblPr>
    <w:tblGrid>
      <w:gridCol w:w="4637"/>
      <w:gridCol w:w="5853"/>
    </w:tblGrid>
    <w:tr w:rsidR="001347BA" w:rsidRPr="00003212" w14:paraId="12E50DC3" w14:textId="77777777" w:rsidTr="001347BA">
      <w:trPr>
        <w:trHeight w:val="543"/>
      </w:trPr>
      <w:tc>
        <w:tcPr>
          <w:tcW w:w="4637" w:type="dxa"/>
          <w:vAlign w:val="center"/>
        </w:tcPr>
        <w:p w14:paraId="3B1F18DD" w14:textId="2F66B457" w:rsidR="000D68B9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  </w:t>
          </w:r>
        </w:p>
      </w:tc>
      <w:tc>
        <w:tcPr>
          <w:tcW w:w="5853" w:type="dxa"/>
          <w:vAlign w:val="bottom"/>
        </w:tcPr>
        <w:sdt>
          <w:sdtPr>
            <w:rPr>
              <w:rFonts w:ascii="Segoe UI Light" w:hAnsi="Segoe UI Light" w:cs="Segoe UI Light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rFonts w:ascii="Segoe UI Light" w:hAnsi="Segoe UI Light" w:cs="Segoe UI Light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7F411E48" w:rsidR="00887812" w:rsidRPr="00D77F1B" w:rsidRDefault="00C333A6" w:rsidP="00D77F1B">
                  <w:pPr>
                    <w:pStyle w:val="Footer"/>
                    <w:jc w:val="right"/>
                    <w:rPr>
                      <w:rFonts w:ascii="Segoe UI Light" w:hAnsi="Segoe UI Light" w:cs="Segoe UI Light"/>
                    </w:rPr>
                  </w:pPr>
                  <w:r w:rsidRPr="00D77F1B">
                    <w:rPr>
                      <w:rFonts w:ascii="Segoe UI Light" w:hAnsi="Segoe UI Light" w:cs="Segoe UI Light"/>
                    </w:rPr>
                    <w:t xml:space="preserve"> </w:t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Page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PAGE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1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 of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NUMPAGES 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3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D77F1B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F7B3C22" w:rsidR="00576892" w:rsidRPr="00003212" w:rsidRDefault="001347BA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23488C5C">
              <wp:simplePos x="0" y="0"/>
              <wp:positionH relativeFrom="column">
                <wp:posOffset>48567</wp:posOffset>
              </wp:positionH>
              <wp:positionV relativeFrom="paragraph">
                <wp:posOffset>-372110</wp:posOffset>
              </wp:positionV>
              <wp:extent cx="4381500" cy="422787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4227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281FEDC2" w:rsidR="000D68B9" w:rsidRPr="00A17EDF" w:rsidRDefault="000D68B9" w:rsidP="00C646F6">
                          <w:pPr>
                            <w:spacing w:line="240" w:lineRule="auto"/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</w:pP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 xml:space="preserve">Faculty of </w:t>
                          </w:r>
                          <w:r w:rsidR="00C646F6"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>Business Administration</w:t>
                          </w: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br/>
                          </w:r>
                          <w:r w:rsidRPr="00A17EDF"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.8pt;margin-top:-29.3pt;width:345pt;height:3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" filled="f" stroked="f" strokeweight=".5pt">
              <v:textbox inset="0,0,0,0">
                <w:txbxContent>
                  <w:p w14:paraId="2441B4C1" w14:textId="281FEDC2" w:rsidR="000D68B9" w:rsidRPr="00A17EDF" w:rsidRDefault="000D68B9" w:rsidP="00C646F6">
                    <w:pPr>
                      <w:spacing w:line="240" w:lineRule="auto"/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</w:pP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 xml:space="preserve">Faculty of </w:t>
                    </w:r>
                    <w:r w:rsidR="00C646F6"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>Business Administration</w:t>
                    </w: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br/>
                    </w:r>
                    <w:r w:rsidRPr="00A17EDF"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24"/>
      </w:rPr>
      <w:drawing>
        <wp:anchor distT="0" distB="0" distL="114300" distR="114300" simplePos="0" relativeHeight="251660288" behindDoc="0" locked="0" layoutInCell="1" allowOverlap="1" wp14:anchorId="37CE0E73" wp14:editId="184E17F4">
          <wp:simplePos x="0" y="0"/>
          <wp:positionH relativeFrom="column">
            <wp:posOffset>-739857</wp:posOffset>
          </wp:positionH>
          <wp:positionV relativeFrom="paragraph">
            <wp:posOffset>-499745</wp:posOffset>
          </wp:positionV>
          <wp:extent cx="638175" cy="638175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89E98C" w14:textId="77777777" w:rsidR="00BA5663" w:rsidRDefault="00BA5663" w:rsidP="00C9238F">
      <w:pPr>
        <w:spacing w:after="0" w:line="240" w:lineRule="auto"/>
      </w:pPr>
      <w:r>
        <w:separator/>
      </w:r>
    </w:p>
  </w:footnote>
  <w:footnote w:type="continuationSeparator" w:id="0">
    <w:p w14:paraId="62646C1E" w14:textId="77777777" w:rsidR="00BA5663" w:rsidRDefault="00BA566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33" w:type="dxa"/>
      <w:tblInd w:w="-1429" w:type="dxa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766"/>
      <w:gridCol w:w="10467"/>
    </w:tblGrid>
    <w:tr w:rsidR="00576892" w:rsidRPr="00A17EDF" w14:paraId="477E62F0" w14:textId="77777777" w:rsidTr="00D77F1B">
      <w:trPr>
        <w:trHeight w:val="1417"/>
      </w:trPr>
      <w:tc>
        <w:tcPr>
          <w:tcW w:w="1766" w:type="dxa"/>
          <w:shd w:val="clear" w:color="auto" w:fill="AEAAAA" w:themeFill="background2" w:themeFillShade="BF"/>
          <w:vAlign w:val="center"/>
        </w:tcPr>
        <w:p w14:paraId="6567CCB1" w14:textId="77777777" w:rsidR="00576892" w:rsidRPr="00D77F1B" w:rsidRDefault="00576892" w:rsidP="00D77F1B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Segoe UI" w:eastAsia="Calibri" w:hAnsi="Segoe UI" w:cs="Segoe UI"/>
              <w:b/>
              <w:bCs/>
              <w:noProof/>
              <w:color w:val="BF678E" w:themeColor="accent3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67" w:type="dxa"/>
          <w:shd w:val="clear" w:color="auto" w:fill="92D050"/>
          <w:vAlign w:val="center"/>
        </w:tcPr>
        <w:p w14:paraId="5A248E92" w14:textId="383A668F" w:rsidR="00576892" w:rsidRPr="00A17EDF" w:rsidRDefault="00010104" w:rsidP="001347BA">
          <w:pPr>
            <w:tabs>
              <w:tab w:val="center" w:pos="4680"/>
              <w:tab w:val="right" w:pos="9360"/>
            </w:tabs>
            <w:spacing w:after="0"/>
            <w:ind w:left="402"/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t xml:space="preserve">AIUB DSpace </w:t>
          </w:r>
          <w:r w:rsidRPr="00D77F1B">
            <w:rPr>
              <w:rFonts w:ascii="Segoe UI Light" w:eastAsia="Calibri" w:hAnsi="Segoe UI Light" w:cs="Segoe UI Light"/>
              <w:noProof/>
              <w:color w:val="FFFFFF" w:themeColor="background1"/>
              <w:sz w:val="40"/>
              <w:szCs w:val="20"/>
            </w:rPr>
            <w:t>Publication Details</w:t>
          </w:r>
        </w:p>
      </w:tc>
    </w:tr>
  </w:tbl>
  <w:p w14:paraId="56A65A3E" w14:textId="77777777" w:rsidR="00C9238F" w:rsidRPr="00A17EDF" w:rsidRDefault="00C9238F" w:rsidP="00576892">
    <w:pPr>
      <w:pStyle w:val="NoSpacing"/>
      <w:rPr>
        <w:rFonts w:ascii="Segoe UI" w:hAnsi="Segoe UI" w:cs="Segoe UI"/>
        <w:b/>
        <w:bCs/>
        <w:sz w:val="1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16558275">
    <w:abstractNumId w:val="12"/>
  </w:num>
  <w:num w:numId="2" w16cid:durableId="2076971476">
    <w:abstractNumId w:val="8"/>
  </w:num>
  <w:num w:numId="3" w16cid:durableId="494807571">
    <w:abstractNumId w:val="16"/>
  </w:num>
  <w:num w:numId="4" w16cid:durableId="1342049650">
    <w:abstractNumId w:val="13"/>
  </w:num>
  <w:num w:numId="5" w16cid:durableId="280696522">
    <w:abstractNumId w:val="14"/>
  </w:num>
  <w:num w:numId="6" w16cid:durableId="137960720">
    <w:abstractNumId w:val="20"/>
  </w:num>
  <w:num w:numId="7" w16cid:durableId="493760863">
    <w:abstractNumId w:val="7"/>
  </w:num>
  <w:num w:numId="8" w16cid:durableId="450827809">
    <w:abstractNumId w:val="11"/>
  </w:num>
  <w:num w:numId="9" w16cid:durableId="1549106127">
    <w:abstractNumId w:val="18"/>
  </w:num>
  <w:num w:numId="10" w16cid:durableId="1455323977">
    <w:abstractNumId w:val="2"/>
  </w:num>
  <w:num w:numId="11" w16cid:durableId="1587570069">
    <w:abstractNumId w:val="6"/>
  </w:num>
  <w:num w:numId="12" w16cid:durableId="689834907">
    <w:abstractNumId w:val="1"/>
  </w:num>
  <w:num w:numId="13" w16cid:durableId="593247834">
    <w:abstractNumId w:val="3"/>
  </w:num>
  <w:num w:numId="14" w16cid:durableId="1196043342">
    <w:abstractNumId w:val="10"/>
  </w:num>
  <w:num w:numId="15" w16cid:durableId="139395610">
    <w:abstractNumId w:val="9"/>
  </w:num>
  <w:num w:numId="16" w16cid:durableId="1536237971">
    <w:abstractNumId w:val="17"/>
  </w:num>
  <w:num w:numId="17" w16cid:durableId="242616622">
    <w:abstractNumId w:val="4"/>
  </w:num>
  <w:num w:numId="18" w16cid:durableId="2095587259">
    <w:abstractNumId w:val="22"/>
  </w:num>
  <w:num w:numId="19" w16cid:durableId="1080518110">
    <w:abstractNumId w:val="19"/>
  </w:num>
  <w:num w:numId="20" w16cid:durableId="1894537863">
    <w:abstractNumId w:val="15"/>
  </w:num>
  <w:num w:numId="21" w16cid:durableId="1018586283">
    <w:abstractNumId w:val="21"/>
  </w:num>
  <w:num w:numId="22" w16cid:durableId="944195572">
    <w:abstractNumId w:val="5"/>
  </w:num>
  <w:num w:numId="23" w16cid:durableId="1812088640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32EE6"/>
    <w:rsid w:val="00052382"/>
    <w:rsid w:val="0006568A"/>
    <w:rsid w:val="00065A07"/>
    <w:rsid w:val="00071AB4"/>
    <w:rsid w:val="00076F0F"/>
    <w:rsid w:val="00084253"/>
    <w:rsid w:val="00096CF2"/>
    <w:rsid w:val="00097D31"/>
    <w:rsid w:val="000B5641"/>
    <w:rsid w:val="000D0A38"/>
    <w:rsid w:val="000D1F49"/>
    <w:rsid w:val="000D68B9"/>
    <w:rsid w:val="001060D8"/>
    <w:rsid w:val="00110BAB"/>
    <w:rsid w:val="00111C0D"/>
    <w:rsid w:val="001347BA"/>
    <w:rsid w:val="00135F0A"/>
    <w:rsid w:val="00164433"/>
    <w:rsid w:val="001703EC"/>
    <w:rsid w:val="001727CA"/>
    <w:rsid w:val="001A6E04"/>
    <w:rsid w:val="001E63E9"/>
    <w:rsid w:val="001F0B3E"/>
    <w:rsid w:val="001F428C"/>
    <w:rsid w:val="001F5CF8"/>
    <w:rsid w:val="0020268D"/>
    <w:rsid w:val="0021153F"/>
    <w:rsid w:val="00211A7E"/>
    <w:rsid w:val="00221805"/>
    <w:rsid w:val="00230B24"/>
    <w:rsid w:val="00257BA9"/>
    <w:rsid w:val="00283C2D"/>
    <w:rsid w:val="002C56E6"/>
    <w:rsid w:val="002D3238"/>
    <w:rsid w:val="002D560C"/>
    <w:rsid w:val="002F2AC1"/>
    <w:rsid w:val="002F3052"/>
    <w:rsid w:val="0030161C"/>
    <w:rsid w:val="00326E3F"/>
    <w:rsid w:val="00354AA3"/>
    <w:rsid w:val="00361E11"/>
    <w:rsid w:val="00370C3C"/>
    <w:rsid w:val="003761D4"/>
    <w:rsid w:val="003961B7"/>
    <w:rsid w:val="003A7BCF"/>
    <w:rsid w:val="003C4043"/>
    <w:rsid w:val="003F0847"/>
    <w:rsid w:val="0040090B"/>
    <w:rsid w:val="00402883"/>
    <w:rsid w:val="00406E20"/>
    <w:rsid w:val="00421017"/>
    <w:rsid w:val="004265E0"/>
    <w:rsid w:val="0046302A"/>
    <w:rsid w:val="00470CA2"/>
    <w:rsid w:val="004759ED"/>
    <w:rsid w:val="00487CA1"/>
    <w:rsid w:val="00487D2D"/>
    <w:rsid w:val="00490339"/>
    <w:rsid w:val="004C0FDC"/>
    <w:rsid w:val="004C7D84"/>
    <w:rsid w:val="004D5D62"/>
    <w:rsid w:val="004E5717"/>
    <w:rsid w:val="004F76A2"/>
    <w:rsid w:val="005038C4"/>
    <w:rsid w:val="005112D0"/>
    <w:rsid w:val="00522B79"/>
    <w:rsid w:val="00526CE2"/>
    <w:rsid w:val="005535C8"/>
    <w:rsid w:val="0055411F"/>
    <w:rsid w:val="005559F1"/>
    <w:rsid w:val="00561703"/>
    <w:rsid w:val="00567E00"/>
    <w:rsid w:val="00576892"/>
    <w:rsid w:val="00577E06"/>
    <w:rsid w:val="00581F5D"/>
    <w:rsid w:val="00587E1B"/>
    <w:rsid w:val="005A2A9F"/>
    <w:rsid w:val="005A3BF7"/>
    <w:rsid w:val="005B4BDC"/>
    <w:rsid w:val="005B50A8"/>
    <w:rsid w:val="005B71DD"/>
    <w:rsid w:val="005C38C1"/>
    <w:rsid w:val="005C7AE7"/>
    <w:rsid w:val="005D1418"/>
    <w:rsid w:val="005E19AD"/>
    <w:rsid w:val="005F2035"/>
    <w:rsid w:val="005F7990"/>
    <w:rsid w:val="0063739C"/>
    <w:rsid w:val="0065484B"/>
    <w:rsid w:val="00655498"/>
    <w:rsid w:val="006704DF"/>
    <w:rsid w:val="00692211"/>
    <w:rsid w:val="006D5827"/>
    <w:rsid w:val="006D64BA"/>
    <w:rsid w:val="007011DE"/>
    <w:rsid w:val="00706A22"/>
    <w:rsid w:val="00712EDA"/>
    <w:rsid w:val="0073710F"/>
    <w:rsid w:val="007455CF"/>
    <w:rsid w:val="00754C3E"/>
    <w:rsid w:val="00770F25"/>
    <w:rsid w:val="00774C74"/>
    <w:rsid w:val="00790A08"/>
    <w:rsid w:val="007A35A8"/>
    <w:rsid w:val="007B0A85"/>
    <w:rsid w:val="007C674D"/>
    <w:rsid w:val="007C6A52"/>
    <w:rsid w:val="007E4956"/>
    <w:rsid w:val="00810E1F"/>
    <w:rsid w:val="0082043E"/>
    <w:rsid w:val="00822E69"/>
    <w:rsid w:val="00852B20"/>
    <w:rsid w:val="00856C58"/>
    <w:rsid w:val="00870542"/>
    <w:rsid w:val="00887812"/>
    <w:rsid w:val="00892886"/>
    <w:rsid w:val="00897670"/>
    <w:rsid w:val="008B0E32"/>
    <w:rsid w:val="008B3584"/>
    <w:rsid w:val="008E203A"/>
    <w:rsid w:val="008E2DBA"/>
    <w:rsid w:val="008F3D44"/>
    <w:rsid w:val="008F522D"/>
    <w:rsid w:val="00900C18"/>
    <w:rsid w:val="00912136"/>
    <w:rsid w:val="0091229C"/>
    <w:rsid w:val="00920221"/>
    <w:rsid w:val="00940E73"/>
    <w:rsid w:val="00952407"/>
    <w:rsid w:val="00964514"/>
    <w:rsid w:val="0097437B"/>
    <w:rsid w:val="0097508B"/>
    <w:rsid w:val="0098597D"/>
    <w:rsid w:val="00997653"/>
    <w:rsid w:val="009A4987"/>
    <w:rsid w:val="009A5FFF"/>
    <w:rsid w:val="009B21A9"/>
    <w:rsid w:val="009C7788"/>
    <w:rsid w:val="009D12F3"/>
    <w:rsid w:val="009F619A"/>
    <w:rsid w:val="009F6DDE"/>
    <w:rsid w:val="009F77CA"/>
    <w:rsid w:val="00A05D58"/>
    <w:rsid w:val="00A1613A"/>
    <w:rsid w:val="00A17EDF"/>
    <w:rsid w:val="00A241AB"/>
    <w:rsid w:val="00A33E91"/>
    <w:rsid w:val="00A370A8"/>
    <w:rsid w:val="00A51CA6"/>
    <w:rsid w:val="00A62A40"/>
    <w:rsid w:val="00A64623"/>
    <w:rsid w:val="00A82A33"/>
    <w:rsid w:val="00A92769"/>
    <w:rsid w:val="00AC27CE"/>
    <w:rsid w:val="00AE37B2"/>
    <w:rsid w:val="00AF11A0"/>
    <w:rsid w:val="00AF30B2"/>
    <w:rsid w:val="00AF6BFE"/>
    <w:rsid w:val="00AF784C"/>
    <w:rsid w:val="00B41061"/>
    <w:rsid w:val="00B46A51"/>
    <w:rsid w:val="00B71A74"/>
    <w:rsid w:val="00B81B71"/>
    <w:rsid w:val="00BA5663"/>
    <w:rsid w:val="00BB46DF"/>
    <w:rsid w:val="00BC6682"/>
    <w:rsid w:val="00BD1596"/>
    <w:rsid w:val="00BD4753"/>
    <w:rsid w:val="00BD5CB1"/>
    <w:rsid w:val="00BE62EE"/>
    <w:rsid w:val="00C003BA"/>
    <w:rsid w:val="00C039BD"/>
    <w:rsid w:val="00C26236"/>
    <w:rsid w:val="00C333A6"/>
    <w:rsid w:val="00C33881"/>
    <w:rsid w:val="00C36232"/>
    <w:rsid w:val="00C400F0"/>
    <w:rsid w:val="00C46878"/>
    <w:rsid w:val="00C5495F"/>
    <w:rsid w:val="00C646F6"/>
    <w:rsid w:val="00C9238F"/>
    <w:rsid w:val="00C94690"/>
    <w:rsid w:val="00C96307"/>
    <w:rsid w:val="00CA61BD"/>
    <w:rsid w:val="00CA61E4"/>
    <w:rsid w:val="00CB21FA"/>
    <w:rsid w:val="00CB4A51"/>
    <w:rsid w:val="00CD4532"/>
    <w:rsid w:val="00CD47B0"/>
    <w:rsid w:val="00CD6564"/>
    <w:rsid w:val="00CE6104"/>
    <w:rsid w:val="00CE7918"/>
    <w:rsid w:val="00CE7E7E"/>
    <w:rsid w:val="00D025A9"/>
    <w:rsid w:val="00D03AC6"/>
    <w:rsid w:val="00D16163"/>
    <w:rsid w:val="00D31E76"/>
    <w:rsid w:val="00D63E1C"/>
    <w:rsid w:val="00D73BA0"/>
    <w:rsid w:val="00D77F1B"/>
    <w:rsid w:val="00D876C4"/>
    <w:rsid w:val="00D95774"/>
    <w:rsid w:val="00DA5122"/>
    <w:rsid w:val="00DA6E67"/>
    <w:rsid w:val="00DB3FAD"/>
    <w:rsid w:val="00DB71A5"/>
    <w:rsid w:val="00DD1ECF"/>
    <w:rsid w:val="00DE4DDC"/>
    <w:rsid w:val="00E14964"/>
    <w:rsid w:val="00E35E58"/>
    <w:rsid w:val="00E61C09"/>
    <w:rsid w:val="00E62FC6"/>
    <w:rsid w:val="00E63E49"/>
    <w:rsid w:val="00E708F9"/>
    <w:rsid w:val="00E94341"/>
    <w:rsid w:val="00EB3B58"/>
    <w:rsid w:val="00EB6916"/>
    <w:rsid w:val="00EC5979"/>
    <w:rsid w:val="00EC7359"/>
    <w:rsid w:val="00ED1E3A"/>
    <w:rsid w:val="00ED73C1"/>
    <w:rsid w:val="00EE1B41"/>
    <w:rsid w:val="00EE3054"/>
    <w:rsid w:val="00EE601D"/>
    <w:rsid w:val="00F00606"/>
    <w:rsid w:val="00F01256"/>
    <w:rsid w:val="00F04757"/>
    <w:rsid w:val="00F11B8F"/>
    <w:rsid w:val="00F12E03"/>
    <w:rsid w:val="00F43162"/>
    <w:rsid w:val="00F50DEB"/>
    <w:rsid w:val="00F521D0"/>
    <w:rsid w:val="00F6558E"/>
    <w:rsid w:val="00F70BB6"/>
    <w:rsid w:val="00FC6406"/>
    <w:rsid w:val="00FC7475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E94341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7AD21D-7328-4ED5-A71E-978648F2428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2023-09-11T03:56:00Z</dcterms:created>
  <dcterms:modified xsi:type="dcterms:W3CDTF">2024-07-05T09:39:00Z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