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C0DFC" w14:textId="77777777" w:rsidR="00A17EDF" w:rsidRDefault="00A17EDF">
      <w:pPr>
        <w:rPr>
          <w:rFonts w:cstheme="minorHAnsi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752"/>
      </w:tblGrid>
      <w:tr w:rsidR="00A17EDF" w:rsidRPr="00A17EDF" w14:paraId="7BD01D26" w14:textId="77777777" w:rsidTr="00B46A51">
        <w:trPr>
          <w:trHeight w:val="615"/>
        </w:trPr>
        <w:tc>
          <w:tcPr>
            <w:tcW w:w="1257" w:type="pct"/>
          </w:tcPr>
          <w:p w14:paraId="18818119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Title</w:t>
            </w:r>
          </w:p>
        </w:tc>
        <w:tc>
          <w:tcPr>
            <w:tcW w:w="3743" w:type="pct"/>
            <w:tcBorders>
              <w:top w:val="single" w:sz="18" w:space="0" w:color="007F00"/>
              <w:bottom w:val="single" w:sz="4" w:space="0" w:color="007F00"/>
            </w:tcBorders>
          </w:tcPr>
          <w:p w14:paraId="3B425BFF" w14:textId="661B121A" w:rsidR="00A17EDF" w:rsidRPr="00A17EDF" w:rsidRDefault="00555BF4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9C5E64">
              <w:rPr>
                <w:rFonts w:ascii="Cambria" w:hAnsi="Cambria"/>
                <w:sz w:val="22"/>
                <w:szCs w:val="22"/>
              </w:rPr>
              <w:t>An Assessment of Non-Tax Revenue Sources in Bangladesh</w:t>
            </w:r>
          </w:p>
        </w:tc>
      </w:tr>
      <w:tr w:rsidR="00A17EDF" w:rsidRPr="00A17EDF" w14:paraId="1D2852A5" w14:textId="77777777" w:rsidTr="00B46A51">
        <w:trPr>
          <w:trHeight w:val="615"/>
        </w:trPr>
        <w:tc>
          <w:tcPr>
            <w:tcW w:w="1257" w:type="pct"/>
          </w:tcPr>
          <w:p w14:paraId="79FB4100" w14:textId="351CF2A0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Author(s)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8321" w14:textId="23A4E925" w:rsidR="00A17EDF" w:rsidRPr="00A17EDF" w:rsidRDefault="00754C3E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754C3E">
              <w:rPr>
                <w:rFonts w:ascii="Segoe UI" w:hAnsi="Segoe UI" w:cs="Segoe UI"/>
                <w:sz w:val="24"/>
                <w:szCs w:val="24"/>
              </w:rPr>
              <w:t>Mohammad Faridul Alam</w:t>
            </w:r>
            <w:r w:rsidR="00CA61BD">
              <w:rPr>
                <w:rFonts w:ascii="Segoe UI" w:hAnsi="Segoe UI" w:cs="Segoe UI"/>
                <w:sz w:val="24"/>
                <w:szCs w:val="24"/>
              </w:rPr>
              <w:t>,</w:t>
            </w:r>
            <w:r w:rsidR="00A610AF">
              <w:rPr>
                <w:rFonts w:ascii="Segoe UI" w:hAnsi="Segoe UI" w:cs="Segoe UI"/>
                <w:sz w:val="24"/>
                <w:szCs w:val="24"/>
              </w:rPr>
              <w:t xml:space="preserve"> Nikhil Chandra Shil</w:t>
            </w:r>
          </w:p>
        </w:tc>
      </w:tr>
      <w:tr w:rsidR="00A17EDF" w:rsidRPr="00A17EDF" w14:paraId="11851DF2" w14:textId="77777777" w:rsidTr="00B46A51">
        <w:trPr>
          <w:trHeight w:val="615"/>
        </w:trPr>
        <w:tc>
          <w:tcPr>
            <w:tcW w:w="1257" w:type="pct"/>
          </w:tcPr>
          <w:p w14:paraId="2EF74CA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Contact Email(s)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04350F1" w14:textId="1EDF9134" w:rsidR="00A17EDF" w:rsidRPr="00A17EDF" w:rsidRDefault="00032EE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m</w:t>
            </w:r>
            <w:r w:rsidR="006D5827">
              <w:rPr>
                <w:rFonts w:ascii="Segoe UI" w:hAnsi="Segoe UI" w:cs="Segoe UI"/>
                <w:sz w:val="24"/>
                <w:szCs w:val="24"/>
              </w:rPr>
              <w:t>f</w:t>
            </w:r>
            <w:r>
              <w:rPr>
                <w:rFonts w:ascii="Segoe UI" w:hAnsi="Segoe UI" w:cs="Segoe UI"/>
                <w:sz w:val="24"/>
                <w:szCs w:val="24"/>
              </w:rPr>
              <w:t>.alam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@aiub.edu</w:t>
            </w:r>
          </w:p>
        </w:tc>
      </w:tr>
      <w:tr w:rsidR="00A17EDF" w:rsidRPr="00A17EDF" w14:paraId="43B2CD96" w14:textId="77777777" w:rsidTr="00B46A51">
        <w:trPr>
          <w:trHeight w:val="615"/>
        </w:trPr>
        <w:tc>
          <w:tcPr>
            <w:tcW w:w="1257" w:type="pct"/>
          </w:tcPr>
          <w:p w14:paraId="3ADA9213" w14:textId="6F4482CF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Published Journal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E22AF7A" w14:textId="2AF7F7A3" w:rsidR="00A17EDF" w:rsidRPr="00A17EDF" w:rsidRDefault="008F36A0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9C5E64">
              <w:rPr>
                <w:rFonts w:ascii="Cambria" w:hAnsi="Cambria"/>
                <w:i/>
                <w:iCs/>
                <w:sz w:val="22"/>
                <w:szCs w:val="22"/>
              </w:rPr>
              <w:t>The IUP Journal of Public Finance</w:t>
            </w:r>
          </w:p>
        </w:tc>
      </w:tr>
      <w:tr w:rsidR="00A17EDF" w:rsidRPr="00A17EDF" w14:paraId="24725965" w14:textId="77777777" w:rsidTr="00B46A51">
        <w:trPr>
          <w:trHeight w:val="615"/>
        </w:trPr>
        <w:tc>
          <w:tcPr>
            <w:tcW w:w="1257" w:type="pct"/>
          </w:tcPr>
          <w:p w14:paraId="3D85CD7B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Type of Publication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128C74B" w14:textId="77777777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A17EDF">
              <w:rPr>
                <w:rFonts w:ascii="Segoe UI" w:hAnsi="Segoe UI" w:cs="Segoe UI"/>
                <w:sz w:val="24"/>
                <w:szCs w:val="24"/>
              </w:rPr>
              <w:t>Journal</w:t>
            </w:r>
          </w:p>
        </w:tc>
      </w:tr>
      <w:tr w:rsidR="00A17EDF" w:rsidRPr="00A17EDF" w14:paraId="0DE69A3A" w14:textId="77777777" w:rsidTr="00B46A51">
        <w:trPr>
          <w:trHeight w:val="615"/>
        </w:trPr>
        <w:tc>
          <w:tcPr>
            <w:tcW w:w="1257" w:type="pct"/>
          </w:tcPr>
          <w:p w14:paraId="51DC46A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Volume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40BA5DB" w14:textId="58DD98CF" w:rsidR="00A17EDF" w:rsidRPr="00A17EDF" w:rsidRDefault="00BB4128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7</w:t>
            </w:r>
          </w:p>
        </w:tc>
      </w:tr>
      <w:tr w:rsidR="00A17EDF" w:rsidRPr="00A17EDF" w14:paraId="3E30FB1F" w14:textId="77777777" w:rsidTr="00B46A51">
        <w:trPr>
          <w:trHeight w:val="615"/>
        </w:trPr>
        <w:tc>
          <w:tcPr>
            <w:tcW w:w="1257" w:type="pct"/>
          </w:tcPr>
          <w:p w14:paraId="5E716DD0" w14:textId="318664D2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Issue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08EB7E1" w14:textId="44F9248C" w:rsidR="00A17EDF" w:rsidRPr="00A17EDF" w:rsidRDefault="00BB4128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3</w:t>
            </w:r>
          </w:p>
        </w:tc>
      </w:tr>
      <w:tr w:rsidR="00A17EDF" w:rsidRPr="00A17EDF" w14:paraId="164AE3B7" w14:textId="77777777" w:rsidTr="00B46A51">
        <w:trPr>
          <w:trHeight w:val="615"/>
        </w:trPr>
        <w:tc>
          <w:tcPr>
            <w:tcW w:w="1257" w:type="pct"/>
          </w:tcPr>
          <w:p w14:paraId="62B76A7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Publisher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17CA822" w14:textId="505B305F" w:rsidR="00A17EDF" w:rsidRPr="00A17EDF" w:rsidRDefault="003A0192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IUP Publications</w:t>
            </w:r>
          </w:p>
        </w:tc>
      </w:tr>
      <w:tr w:rsidR="00A17EDF" w:rsidRPr="00A17EDF" w14:paraId="7E0F69B9" w14:textId="77777777" w:rsidTr="00B46A51">
        <w:trPr>
          <w:trHeight w:val="615"/>
        </w:trPr>
        <w:tc>
          <w:tcPr>
            <w:tcW w:w="1257" w:type="pct"/>
          </w:tcPr>
          <w:p w14:paraId="520EA24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Publication Date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741327" w14:textId="7B8A5FA5" w:rsidR="00A17EDF" w:rsidRPr="00A17EDF" w:rsidRDefault="000215F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August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, 20</w:t>
            </w:r>
            <w:r>
              <w:rPr>
                <w:rFonts w:ascii="Segoe UI" w:hAnsi="Segoe UI" w:cs="Segoe UI"/>
                <w:sz w:val="24"/>
                <w:szCs w:val="24"/>
              </w:rPr>
              <w:t>09</w:t>
            </w:r>
          </w:p>
        </w:tc>
      </w:tr>
      <w:tr w:rsidR="00A17EDF" w:rsidRPr="00A17EDF" w14:paraId="0F93F891" w14:textId="77777777" w:rsidTr="00B46A51">
        <w:trPr>
          <w:trHeight w:val="615"/>
        </w:trPr>
        <w:tc>
          <w:tcPr>
            <w:tcW w:w="1257" w:type="pct"/>
          </w:tcPr>
          <w:p w14:paraId="3057E501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2883" w14:textId="0FC46EC3" w:rsidR="00A17EDF" w:rsidRPr="00A17EDF" w:rsidRDefault="00CC263E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9C5E64">
              <w:rPr>
                <w:rFonts w:ascii="Cambria" w:hAnsi="Cambria"/>
                <w:i/>
                <w:iCs/>
                <w:sz w:val="22"/>
                <w:szCs w:val="22"/>
              </w:rPr>
              <w:t>0972-9356</w:t>
            </w:r>
          </w:p>
        </w:tc>
      </w:tr>
      <w:tr w:rsidR="00A17EDF" w:rsidRPr="00A17EDF" w14:paraId="642FCF58" w14:textId="77777777" w:rsidTr="00B46A51">
        <w:trPr>
          <w:trHeight w:val="615"/>
        </w:trPr>
        <w:tc>
          <w:tcPr>
            <w:tcW w:w="1257" w:type="pct"/>
          </w:tcPr>
          <w:p w14:paraId="3AB39763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DOI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C37A19" w14:textId="133DD88A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D75E798" w14:textId="77777777" w:rsidTr="00B46A51">
        <w:trPr>
          <w:trHeight w:val="615"/>
        </w:trPr>
        <w:tc>
          <w:tcPr>
            <w:tcW w:w="1257" w:type="pct"/>
          </w:tcPr>
          <w:p w14:paraId="1932610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URL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CC00468" w14:textId="65FA022A" w:rsidR="00A17EDF" w:rsidRPr="00A17EDF" w:rsidRDefault="00D61853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D61853">
              <w:rPr>
                <w:rFonts w:ascii="Cambria" w:hAnsi="Cambria"/>
                <w:bCs/>
                <w:sz w:val="22"/>
                <w:szCs w:val="22"/>
              </w:rPr>
              <w:t>https://www.iupindia.in/809/IJPF_Non-Tax_Revenue_Sources_65.html</w:t>
            </w:r>
          </w:p>
        </w:tc>
      </w:tr>
      <w:tr w:rsidR="00A17EDF" w:rsidRPr="00A17EDF" w14:paraId="12288075" w14:textId="77777777" w:rsidTr="00B46A51">
        <w:trPr>
          <w:trHeight w:val="615"/>
        </w:trPr>
        <w:tc>
          <w:tcPr>
            <w:tcW w:w="1257" w:type="pct"/>
          </w:tcPr>
          <w:p w14:paraId="1F42759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Other Related Info.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3A593EB" w14:textId="663D5C0D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562E3AF5" w14:textId="77777777" w:rsidTr="00B46A51">
        <w:trPr>
          <w:trHeight w:val="1186"/>
        </w:trPr>
        <w:tc>
          <w:tcPr>
            <w:tcW w:w="1257" w:type="pct"/>
          </w:tcPr>
          <w:p w14:paraId="36D4B310" w14:textId="7E218346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Keywords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8E64D3F" w14:textId="280327C7" w:rsidR="00A17EDF" w:rsidRPr="00A17EDF" w:rsidRDefault="00AF69B2" w:rsidP="0021153F">
            <w:pPr>
              <w:spacing w:before="60" w:after="60"/>
              <w:jc w:val="both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 xml:space="preserve">Budget, Public Finance, </w:t>
            </w:r>
            <w:r w:rsidR="000B1BCB">
              <w:rPr>
                <w:rFonts w:ascii="Segoe UI" w:hAnsi="Segoe UI" w:cs="Segoe UI"/>
                <w:sz w:val="24"/>
                <w:szCs w:val="24"/>
              </w:rPr>
              <w:t>Non-tax revenue</w:t>
            </w:r>
          </w:p>
        </w:tc>
      </w:tr>
      <w:tr w:rsidR="00A17EDF" w:rsidRPr="00A17EDF" w14:paraId="326B3683" w14:textId="77777777" w:rsidTr="00B46A51">
        <w:trPr>
          <w:trHeight w:val="1186"/>
        </w:trPr>
        <w:tc>
          <w:tcPr>
            <w:tcW w:w="1257" w:type="pct"/>
          </w:tcPr>
          <w:p w14:paraId="4698B760" w14:textId="66B61109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Citation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18" w:space="0" w:color="007F00"/>
            </w:tcBorders>
          </w:tcPr>
          <w:p w14:paraId="6BBFA6B4" w14:textId="5EE5ADDE" w:rsidR="00A17EDF" w:rsidRPr="0020268D" w:rsidRDefault="00991063" w:rsidP="0020268D">
            <w:pPr>
              <w:spacing w:before="60" w:after="60"/>
              <w:rPr>
                <w:rFonts w:ascii="Segoe UI Light" w:hAnsi="Segoe UI Light" w:cs="Segoe UI Light"/>
                <w:sz w:val="22"/>
                <w:szCs w:val="22"/>
              </w:rPr>
            </w:pPr>
            <w:r w:rsidRPr="00991063">
              <w:rPr>
                <w:rFonts w:ascii="Segoe UI Light" w:hAnsi="Segoe UI Light" w:cs="Segoe UI Light"/>
                <w:sz w:val="22"/>
                <w:szCs w:val="22"/>
              </w:rPr>
              <w:t>Alam, M. F., &amp; Shil, N. C. (2009). An Assessment of Non-Tax Revenue Sources in Bangladesh. The IUP Journal of Public Finance, ISSN: 0972-9356, 7(3), 7-24</w:t>
            </w:r>
          </w:p>
        </w:tc>
      </w:tr>
    </w:tbl>
    <w:p w14:paraId="368EFAEB" w14:textId="4703E243" w:rsidR="00852B20" w:rsidRPr="00DA5122" w:rsidRDefault="00852B20">
      <w:pPr>
        <w:rPr>
          <w:rFonts w:cstheme="minorHAnsi"/>
        </w:rPr>
      </w:pPr>
      <w:r w:rsidRPr="00DA5122">
        <w:rPr>
          <w:rFonts w:cstheme="minorHAnsi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D77F1B" w:rsidRPr="00D77F1B" w14:paraId="5DCF01B1" w14:textId="77777777" w:rsidTr="00B46A51">
        <w:tc>
          <w:tcPr>
            <w:tcW w:w="5000" w:type="pct"/>
            <w:tcBorders>
              <w:bottom w:val="single" w:sz="18" w:space="0" w:color="007F00"/>
            </w:tcBorders>
          </w:tcPr>
          <w:p w14:paraId="6FD8735F" w14:textId="137A62A5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lastRenderedPageBreak/>
              <w:t>Abstract</w:t>
            </w:r>
          </w:p>
        </w:tc>
      </w:tr>
      <w:tr w:rsidR="00D77F1B" w:rsidRPr="00D77F1B" w14:paraId="0A38678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6980B8A4" w14:textId="2675E34C" w:rsidR="00D77F1B" w:rsidRPr="00257BA9" w:rsidRDefault="006C578F" w:rsidP="00AF784C">
            <w:pPr>
              <w:spacing w:before="60" w:after="60"/>
              <w:jc w:val="both"/>
              <w:rPr>
                <w:rFonts w:ascii="Open Sans" w:hAnsi="Open Sans" w:cs="Open Sans"/>
                <w:color w:val="333333"/>
                <w:sz w:val="26"/>
                <w:szCs w:val="26"/>
              </w:rPr>
            </w:pPr>
            <w:r w:rsidRPr="006C578F">
              <w:rPr>
                <w:rFonts w:ascii="Open Sans" w:hAnsi="Open Sans" w:cs="Open Sans"/>
                <w:color w:val="333333"/>
                <w:sz w:val="26"/>
                <w:szCs w:val="26"/>
              </w:rPr>
              <w:t>In Bangladesh, the fundamental problem behind arresting the revenue deficit is the rising expenditure unmatched by corresponding means of finance. Of total revenue, the revenue from non-tax sources is nearly one-fifth and its share in GDP has shown a stable trend over the years. This paper mainly focuses on the study of non-tax revenue performance in Bangladesh. The contribution of non-tax revenue, although erratic in terms of growth rate, has shown substantial increase in terms of absolute amount over the period, 1997-98 to 2006-07. Although, various reform initiatives have been taken to improve the tax performance, the initiatives are highly insignificant in case of non-tax revenue. The performance of non-tax revenue can significantly be improved through effective and efficient policy measures, which may help the country to cope with the fiscal imbalance in resource mobilization.</w:t>
            </w:r>
          </w:p>
        </w:tc>
      </w:tr>
      <w:tr w:rsidR="00D77F1B" w:rsidRPr="00D77F1B" w14:paraId="483E412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0A390CAC" w14:textId="77777777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</w:p>
          <w:p w14:paraId="30E7D0B3" w14:textId="01B8D089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Sustainable Development Goal(s) (SDG)</w:t>
            </w:r>
          </w:p>
        </w:tc>
      </w:tr>
      <w:tr w:rsidR="00D77F1B" w:rsidRPr="00D77F1B" w14:paraId="4EF1D0F2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1755BAF4" w14:textId="4C214B4F" w:rsidR="00D77F1B" w:rsidRPr="00D77F1B" w:rsidRDefault="00912136" w:rsidP="00D77F1B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Decent Work and Economic Growth</w:t>
            </w:r>
          </w:p>
        </w:tc>
      </w:tr>
    </w:tbl>
    <w:p w14:paraId="191A99B7" w14:textId="77777777" w:rsidR="00A17EDF" w:rsidRDefault="00A17EDF">
      <w:pPr>
        <w:rPr>
          <w:rFonts w:cstheme="minorHAnsi"/>
        </w:rPr>
      </w:pPr>
    </w:p>
    <w:p w14:paraId="120F4C04" w14:textId="77777777" w:rsidR="00A17EDF" w:rsidRPr="00DA5122" w:rsidRDefault="00A17EDF">
      <w:pPr>
        <w:rPr>
          <w:rFonts w:cstheme="minorHAnsi"/>
        </w:rPr>
      </w:pPr>
    </w:p>
    <w:sectPr w:rsidR="00A17EDF" w:rsidRPr="00DA5122" w:rsidSect="00B46A51">
      <w:headerReference w:type="default" r:id="rId11"/>
      <w:footerReference w:type="default" r:id="rId12"/>
      <w:pgSz w:w="11900" w:h="16840"/>
      <w:pgMar w:top="1440" w:right="1440" w:bottom="1008" w:left="1440" w:header="0" w:footer="1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A73962" w14:textId="77777777" w:rsidR="00581F5D" w:rsidRDefault="00581F5D" w:rsidP="00C9238F">
      <w:pPr>
        <w:spacing w:after="0" w:line="240" w:lineRule="auto"/>
      </w:pPr>
      <w:r>
        <w:separator/>
      </w:r>
    </w:p>
  </w:endnote>
  <w:endnote w:type="continuationSeparator" w:id="0">
    <w:p w14:paraId="25996BF8" w14:textId="77777777" w:rsidR="00581F5D" w:rsidRDefault="00581F5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3C7095-13AB-4C5A-8F30-71CE422D2638}"/>
    <w:embedBold r:id="rId2" w:fontKey="{664D61A2-64B4-40FE-801C-82FBC0A64882}"/>
    <w:embedItalic r:id="rId3" w:fontKey="{9DED04E2-E0A3-4822-8CA9-F9092878039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F02D771-437E-4A3B-B311-9E462085310E}"/>
    <w:embedBold r:id="rId5" w:fontKey="{452386AF-0338-403B-89B4-71CA22767207}"/>
    <w:embedItalic r:id="rId6" w:fontKey="{CA22A345-97B6-49C7-9AEC-D77150906026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F643A1EB-B7C4-4781-986D-E5302B4BDABE}"/>
    <w:embedBold r:id="rId8" w:fontKey="{54FB94F4-1CAA-49B6-98C5-94C88D14195F}"/>
    <w:embedItalic r:id="rId9" w:fontKey="{6BBC7D8A-0AEC-4D84-99EC-A7DD10C9537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DE0F59F0-2327-4FD3-8EFD-DBADCFFAB6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E38AC547-1359-4BA1-A528-7FF53E88424C}"/>
    <w:embedBold r:id="rId12" w:fontKey="{608A937A-89A5-4C8C-8937-EA94EC0F36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1924469-3E1D-4EB2-AD7A-679CCF157B72}"/>
    <w:embedItalic r:id="rId14" w:fontKey="{26D3A3A3-C499-4D13-9954-8D0BCF937B6E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8F1EBB01-8E52-4FAD-AF1A-7EBAF2803239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6" w:fontKey="{EAF04462-02A9-4A4D-952E-4150A6E315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90" w:type="dxa"/>
      <w:tblLook w:val="04A0" w:firstRow="1" w:lastRow="0" w:firstColumn="1" w:lastColumn="0" w:noHBand="0" w:noVBand="1"/>
    </w:tblPr>
    <w:tblGrid>
      <w:gridCol w:w="4637"/>
      <w:gridCol w:w="5853"/>
    </w:tblGrid>
    <w:tr w:rsidR="001347BA" w:rsidRPr="00003212" w14:paraId="12E50DC3" w14:textId="77777777" w:rsidTr="001347BA">
      <w:trPr>
        <w:trHeight w:val="543"/>
      </w:trPr>
      <w:tc>
        <w:tcPr>
          <w:tcW w:w="4637" w:type="dxa"/>
          <w:vAlign w:val="center"/>
        </w:tcPr>
        <w:p w14:paraId="3B1F18DD" w14:textId="2F66B457" w:rsidR="000D68B9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  </w:t>
          </w:r>
        </w:p>
      </w:tc>
      <w:tc>
        <w:tcPr>
          <w:tcW w:w="5853" w:type="dxa"/>
          <w:vAlign w:val="bottom"/>
        </w:tcPr>
        <w:sdt>
          <w:sdtPr>
            <w:rPr>
              <w:rFonts w:ascii="Segoe UI Light" w:hAnsi="Segoe UI Light" w:cs="Segoe UI Light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rFonts w:ascii="Segoe UI Light" w:hAnsi="Segoe UI Light" w:cs="Segoe UI Light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7F411E48" w:rsidR="00887812" w:rsidRPr="00D77F1B" w:rsidRDefault="00C333A6" w:rsidP="00D77F1B">
                  <w:pPr>
                    <w:pStyle w:val="Footer"/>
                    <w:jc w:val="right"/>
                    <w:rPr>
                      <w:rFonts w:ascii="Segoe UI Light" w:hAnsi="Segoe UI Light" w:cs="Segoe UI Light"/>
                    </w:rPr>
                  </w:pPr>
                  <w:r w:rsidRPr="00D77F1B">
                    <w:rPr>
                      <w:rFonts w:ascii="Segoe UI Light" w:hAnsi="Segoe UI Light" w:cs="Segoe UI Light"/>
                    </w:rPr>
                    <w:t xml:space="preserve"> </w:t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Page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PAGE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1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 of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NUMPAGES 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3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D77F1B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F7B3C22" w:rsidR="00576892" w:rsidRPr="00003212" w:rsidRDefault="001347BA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23488C5C">
              <wp:simplePos x="0" y="0"/>
              <wp:positionH relativeFrom="column">
                <wp:posOffset>48567</wp:posOffset>
              </wp:positionH>
              <wp:positionV relativeFrom="paragraph">
                <wp:posOffset>-372110</wp:posOffset>
              </wp:positionV>
              <wp:extent cx="4381500" cy="4227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4227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281FEDC2" w:rsidR="000D68B9" w:rsidRPr="00A17EDF" w:rsidRDefault="000D68B9" w:rsidP="00C646F6">
                          <w:pPr>
                            <w:spacing w:line="240" w:lineRule="auto"/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</w:pP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 xml:space="preserve">Faculty of </w:t>
                          </w:r>
                          <w:r w:rsidR="00C646F6"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>Business Administration</w:t>
                          </w: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br/>
                          </w:r>
                          <w:r w:rsidRPr="00A17EDF"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8pt;margin-top:-29.3pt;width:345pt;height:3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" filled="f" stroked="f" strokeweight=".5pt">
              <v:textbox inset="0,0,0,0">
                <w:txbxContent>
                  <w:p w14:paraId="2441B4C1" w14:textId="281FEDC2" w:rsidR="000D68B9" w:rsidRPr="00A17EDF" w:rsidRDefault="000D68B9" w:rsidP="00C646F6">
                    <w:pPr>
                      <w:spacing w:line="240" w:lineRule="auto"/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</w:pP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 xml:space="preserve">Faculty of </w:t>
                    </w:r>
                    <w:r w:rsidR="00C646F6"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>Business Administration</w:t>
                    </w: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br/>
                    </w:r>
                    <w:r w:rsidRPr="00A17EDF"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4"/>
      </w:rPr>
      <w:drawing>
        <wp:anchor distT="0" distB="0" distL="114300" distR="114300" simplePos="0" relativeHeight="251660288" behindDoc="0" locked="0" layoutInCell="1" allowOverlap="1" wp14:anchorId="37CE0E73" wp14:editId="184E17F4">
          <wp:simplePos x="0" y="0"/>
          <wp:positionH relativeFrom="column">
            <wp:posOffset>-739857</wp:posOffset>
          </wp:positionH>
          <wp:positionV relativeFrom="paragraph">
            <wp:posOffset>-499745</wp:posOffset>
          </wp:positionV>
          <wp:extent cx="638175" cy="63817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791FA9" w14:textId="77777777" w:rsidR="00581F5D" w:rsidRDefault="00581F5D" w:rsidP="00C9238F">
      <w:pPr>
        <w:spacing w:after="0" w:line="240" w:lineRule="auto"/>
      </w:pPr>
      <w:r>
        <w:separator/>
      </w:r>
    </w:p>
  </w:footnote>
  <w:footnote w:type="continuationSeparator" w:id="0">
    <w:p w14:paraId="4B16E304" w14:textId="77777777" w:rsidR="00581F5D" w:rsidRDefault="00581F5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33" w:type="dxa"/>
      <w:tblInd w:w="-1429" w:type="dxa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766"/>
      <w:gridCol w:w="10467"/>
    </w:tblGrid>
    <w:tr w:rsidR="00576892" w:rsidRPr="00A17EDF" w14:paraId="477E62F0" w14:textId="77777777" w:rsidTr="00D77F1B">
      <w:trPr>
        <w:trHeight w:val="1417"/>
      </w:trPr>
      <w:tc>
        <w:tcPr>
          <w:tcW w:w="1766" w:type="dxa"/>
          <w:shd w:val="clear" w:color="auto" w:fill="AEAAAA" w:themeFill="background2" w:themeFillShade="BF"/>
          <w:vAlign w:val="center"/>
        </w:tcPr>
        <w:p w14:paraId="6567CCB1" w14:textId="77777777" w:rsidR="00576892" w:rsidRPr="00D77F1B" w:rsidRDefault="00576892" w:rsidP="00D77F1B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Segoe UI" w:eastAsia="Calibri" w:hAnsi="Segoe UI" w:cs="Segoe UI"/>
              <w:b/>
              <w:bCs/>
              <w:noProof/>
              <w:color w:val="BF678E" w:themeColor="accent3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67" w:type="dxa"/>
          <w:shd w:val="clear" w:color="auto" w:fill="92D050"/>
          <w:vAlign w:val="center"/>
        </w:tcPr>
        <w:p w14:paraId="5A248E92" w14:textId="383A668F" w:rsidR="00576892" w:rsidRPr="00A17EDF" w:rsidRDefault="00010104" w:rsidP="001347BA">
          <w:pPr>
            <w:tabs>
              <w:tab w:val="center" w:pos="4680"/>
              <w:tab w:val="right" w:pos="9360"/>
            </w:tabs>
            <w:spacing w:after="0"/>
            <w:ind w:left="402"/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t xml:space="preserve">AIUB DSpace </w:t>
          </w:r>
          <w:r w:rsidRPr="00D77F1B">
            <w:rPr>
              <w:rFonts w:ascii="Segoe UI Light" w:eastAsia="Calibri" w:hAnsi="Segoe UI Light" w:cs="Segoe UI Light"/>
              <w:noProof/>
              <w:color w:val="FFFFFF" w:themeColor="background1"/>
              <w:sz w:val="40"/>
              <w:szCs w:val="20"/>
            </w:rPr>
            <w:t>Publication Details</w:t>
          </w:r>
        </w:p>
      </w:tc>
    </w:tr>
  </w:tbl>
  <w:p w14:paraId="56A65A3E" w14:textId="77777777" w:rsidR="00C9238F" w:rsidRPr="00A17EDF" w:rsidRDefault="00C9238F" w:rsidP="00576892">
    <w:pPr>
      <w:pStyle w:val="NoSpacing"/>
      <w:rPr>
        <w:rFonts w:ascii="Segoe UI" w:hAnsi="Segoe UI" w:cs="Segoe UI"/>
        <w:b/>
        <w:bCs/>
        <w:sz w:val="1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16558275">
    <w:abstractNumId w:val="12"/>
  </w:num>
  <w:num w:numId="2" w16cid:durableId="2076971476">
    <w:abstractNumId w:val="8"/>
  </w:num>
  <w:num w:numId="3" w16cid:durableId="494807571">
    <w:abstractNumId w:val="16"/>
  </w:num>
  <w:num w:numId="4" w16cid:durableId="1342049650">
    <w:abstractNumId w:val="13"/>
  </w:num>
  <w:num w:numId="5" w16cid:durableId="280696522">
    <w:abstractNumId w:val="14"/>
  </w:num>
  <w:num w:numId="6" w16cid:durableId="137960720">
    <w:abstractNumId w:val="20"/>
  </w:num>
  <w:num w:numId="7" w16cid:durableId="493760863">
    <w:abstractNumId w:val="7"/>
  </w:num>
  <w:num w:numId="8" w16cid:durableId="450827809">
    <w:abstractNumId w:val="11"/>
  </w:num>
  <w:num w:numId="9" w16cid:durableId="1549106127">
    <w:abstractNumId w:val="18"/>
  </w:num>
  <w:num w:numId="10" w16cid:durableId="1455323977">
    <w:abstractNumId w:val="2"/>
  </w:num>
  <w:num w:numId="11" w16cid:durableId="1587570069">
    <w:abstractNumId w:val="6"/>
  </w:num>
  <w:num w:numId="12" w16cid:durableId="689834907">
    <w:abstractNumId w:val="1"/>
  </w:num>
  <w:num w:numId="13" w16cid:durableId="593247834">
    <w:abstractNumId w:val="3"/>
  </w:num>
  <w:num w:numId="14" w16cid:durableId="1196043342">
    <w:abstractNumId w:val="10"/>
  </w:num>
  <w:num w:numId="15" w16cid:durableId="139395610">
    <w:abstractNumId w:val="9"/>
  </w:num>
  <w:num w:numId="16" w16cid:durableId="1536237971">
    <w:abstractNumId w:val="17"/>
  </w:num>
  <w:num w:numId="17" w16cid:durableId="242616622">
    <w:abstractNumId w:val="4"/>
  </w:num>
  <w:num w:numId="18" w16cid:durableId="2095587259">
    <w:abstractNumId w:val="22"/>
  </w:num>
  <w:num w:numId="19" w16cid:durableId="1080518110">
    <w:abstractNumId w:val="19"/>
  </w:num>
  <w:num w:numId="20" w16cid:durableId="1894537863">
    <w:abstractNumId w:val="15"/>
  </w:num>
  <w:num w:numId="21" w16cid:durableId="1018586283">
    <w:abstractNumId w:val="21"/>
  </w:num>
  <w:num w:numId="22" w16cid:durableId="944195572">
    <w:abstractNumId w:val="5"/>
  </w:num>
  <w:num w:numId="23" w16cid:durableId="181208864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15F6"/>
    <w:rsid w:val="00032EE6"/>
    <w:rsid w:val="00052382"/>
    <w:rsid w:val="0006568A"/>
    <w:rsid w:val="00065A07"/>
    <w:rsid w:val="00076F0F"/>
    <w:rsid w:val="00084253"/>
    <w:rsid w:val="000B1BCB"/>
    <w:rsid w:val="000D0A38"/>
    <w:rsid w:val="000D1F49"/>
    <w:rsid w:val="000D68B9"/>
    <w:rsid w:val="001060D8"/>
    <w:rsid w:val="00110BAB"/>
    <w:rsid w:val="00111C0D"/>
    <w:rsid w:val="001347BA"/>
    <w:rsid w:val="00135F0A"/>
    <w:rsid w:val="001727CA"/>
    <w:rsid w:val="001E63E9"/>
    <w:rsid w:val="001F0B3E"/>
    <w:rsid w:val="001F428C"/>
    <w:rsid w:val="001F5CF8"/>
    <w:rsid w:val="0020268D"/>
    <w:rsid w:val="0021153F"/>
    <w:rsid w:val="00257BA9"/>
    <w:rsid w:val="00281716"/>
    <w:rsid w:val="00283C2D"/>
    <w:rsid w:val="002C56E6"/>
    <w:rsid w:val="002D3238"/>
    <w:rsid w:val="002F2AC1"/>
    <w:rsid w:val="002F3052"/>
    <w:rsid w:val="00326E3F"/>
    <w:rsid w:val="00354AA3"/>
    <w:rsid w:val="00361E11"/>
    <w:rsid w:val="00370C3C"/>
    <w:rsid w:val="003761D4"/>
    <w:rsid w:val="003A0192"/>
    <w:rsid w:val="003A7BCF"/>
    <w:rsid w:val="003F0847"/>
    <w:rsid w:val="0040090B"/>
    <w:rsid w:val="00406E20"/>
    <w:rsid w:val="00421017"/>
    <w:rsid w:val="0046302A"/>
    <w:rsid w:val="004759ED"/>
    <w:rsid w:val="00487CA1"/>
    <w:rsid w:val="00487D2D"/>
    <w:rsid w:val="004C0FDC"/>
    <w:rsid w:val="004C7D84"/>
    <w:rsid w:val="004D5D62"/>
    <w:rsid w:val="004E5717"/>
    <w:rsid w:val="004F76A2"/>
    <w:rsid w:val="005112D0"/>
    <w:rsid w:val="00522B79"/>
    <w:rsid w:val="0055411F"/>
    <w:rsid w:val="005559F1"/>
    <w:rsid w:val="00555BF4"/>
    <w:rsid w:val="00567E00"/>
    <w:rsid w:val="00573D12"/>
    <w:rsid w:val="00576892"/>
    <w:rsid w:val="00577E06"/>
    <w:rsid w:val="00581F5D"/>
    <w:rsid w:val="00587E1B"/>
    <w:rsid w:val="005A3BF7"/>
    <w:rsid w:val="005B71DD"/>
    <w:rsid w:val="005C38C1"/>
    <w:rsid w:val="005C7AE7"/>
    <w:rsid w:val="005D1418"/>
    <w:rsid w:val="005E19AD"/>
    <w:rsid w:val="005F2035"/>
    <w:rsid w:val="005F7990"/>
    <w:rsid w:val="0063739C"/>
    <w:rsid w:val="00650905"/>
    <w:rsid w:val="00655498"/>
    <w:rsid w:val="006C578F"/>
    <w:rsid w:val="006D5827"/>
    <w:rsid w:val="006D64BA"/>
    <w:rsid w:val="007011DE"/>
    <w:rsid w:val="00712EDA"/>
    <w:rsid w:val="0073710F"/>
    <w:rsid w:val="00754C3E"/>
    <w:rsid w:val="00770F25"/>
    <w:rsid w:val="00774C74"/>
    <w:rsid w:val="00790A08"/>
    <w:rsid w:val="007A35A8"/>
    <w:rsid w:val="007B0A85"/>
    <w:rsid w:val="007C674D"/>
    <w:rsid w:val="007C6A52"/>
    <w:rsid w:val="007E4956"/>
    <w:rsid w:val="00810E1F"/>
    <w:rsid w:val="0082043E"/>
    <w:rsid w:val="00822E69"/>
    <w:rsid w:val="00852B20"/>
    <w:rsid w:val="00856C58"/>
    <w:rsid w:val="00887812"/>
    <w:rsid w:val="00892886"/>
    <w:rsid w:val="00897670"/>
    <w:rsid w:val="008B0E32"/>
    <w:rsid w:val="008C3CF4"/>
    <w:rsid w:val="008E203A"/>
    <w:rsid w:val="008E2DBA"/>
    <w:rsid w:val="008F36A0"/>
    <w:rsid w:val="008F3D44"/>
    <w:rsid w:val="008F522D"/>
    <w:rsid w:val="00900C18"/>
    <w:rsid w:val="00912136"/>
    <w:rsid w:val="0091229C"/>
    <w:rsid w:val="00920221"/>
    <w:rsid w:val="00940E73"/>
    <w:rsid w:val="00952407"/>
    <w:rsid w:val="00964514"/>
    <w:rsid w:val="0097437B"/>
    <w:rsid w:val="0097508B"/>
    <w:rsid w:val="0098597D"/>
    <w:rsid w:val="00991063"/>
    <w:rsid w:val="009A4987"/>
    <w:rsid w:val="009B21A9"/>
    <w:rsid w:val="009C7788"/>
    <w:rsid w:val="009F619A"/>
    <w:rsid w:val="009F6DDE"/>
    <w:rsid w:val="009F77CA"/>
    <w:rsid w:val="00A1613A"/>
    <w:rsid w:val="00A17EDF"/>
    <w:rsid w:val="00A241AB"/>
    <w:rsid w:val="00A33E91"/>
    <w:rsid w:val="00A370A8"/>
    <w:rsid w:val="00A51CA6"/>
    <w:rsid w:val="00A610AF"/>
    <w:rsid w:val="00A62A40"/>
    <w:rsid w:val="00A82A33"/>
    <w:rsid w:val="00AC27CE"/>
    <w:rsid w:val="00AF11A0"/>
    <w:rsid w:val="00AF30B2"/>
    <w:rsid w:val="00AF69B2"/>
    <w:rsid w:val="00AF6BFE"/>
    <w:rsid w:val="00AF784C"/>
    <w:rsid w:val="00B46A51"/>
    <w:rsid w:val="00BB4128"/>
    <w:rsid w:val="00BB46DF"/>
    <w:rsid w:val="00BC6682"/>
    <w:rsid w:val="00BD1596"/>
    <w:rsid w:val="00BD4753"/>
    <w:rsid w:val="00BD5CB1"/>
    <w:rsid w:val="00BE62EE"/>
    <w:rsid w:val="00C003BA"/>
    <w:rsid w:val="00C039BD"/>
    <w:rsid w:val="00C26236"/>
    <w:rsid w:val="00C333A6"/>
    <w:rsid w:val="00C34AB9"/>
    <w:rsid w:val="00C36232"/>
    <w:rsid w:val="00C46878"/>
    <w:rsid w:val="00C5495F"/>
    <w:rsid w:val="00C646F6"/>
    <w:rsid w:val="00C9238F"/>
    <w:rsid w:val="00C94690"/>
    <w:rsid w:val="00C96307"/>
    <w:rsid w:val="00CA61BD"/>
    <w:rsid w:val="00CA61E4"/>
    <w:rsid w:val="00CB4A51"/>
    <w:rsid w:val="00CC263E"/>
    <w:rsid w:val="00CD4532"/>
    <w:rsid w:val="00CD47B0"/>
    <w:rsid w:val="00CE6104"/>
    <w:rsid w:val="00CE7918"/>
    <w:rsid w:val="00CE7E7E"/>
    <w:rsid w:val="00D03AC6"/>
    <w:rsid w:val="00D16163"/>
    <w:rsid w:val="00D31E76"/>
    <w:rsid w:val="00D61853"/>
    <w:rsid w:val="00D63E1C"/>
    <w:rsid w:val="00D73BA0"/>
    <w:rsid w:val="00D77F1B"/>
    <w:rsid w:val="00D876C4"/>
    <w:rsid w:val="00DA5122"/>
    <w:rsid w:val="00DA6E67"/>
    <w:rsid w:val="00DB3FAD"/>
    <w:rsid w:val="00DD1ECF"/>
    <w:rsid w:val="00E14964"/>
    <w:rsid w:val="00E35E58"/>
    <w:rsid w:val="00E61C09"/>
    <w:rsid w:val="00E62FC6"/>
    <w:rsid w:val="00E63E49"/>
    <w:rsid w:val="00E708F9"/>
    <w:rsid w:val="00E81092"/>
    <w:rsid w:val="00E94341"/>
    <w:rsid w:val="00EB3B58"/>
    <w:rsid w:val="00EC7359"/>
    <w:rsid w:val="00ED73C1"/>
    <w:rsid w:val="00EE3054"/>
    <w:rsid w:val="00F00606"/>
    <w:rsid w:val="00F01256"/>
    <w:rsid w:val="00F04757"/>
    <w:rsid w:val="00F12E03"/>
    <w:rsid w:val="00F50DEB"/>
    <w:rsid w:val="00F6558E"/>
    <w:rsid w:val="00FB3E7B"/>
    <w:rsid w:val="00FB66C7"/>
    <w:rsid w:val="00FC6406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E94341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2023-09-11T03:56:00Z</dcterms:created>
  <dcterms:modified xsi:type="dcterms:W3CDTF">2024-07-05T14:10:00Z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