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27E44FD3" w:rsidR="00A17EDF" w:rsidRPr="00A17EDF" w:rsidRDefault="00E25A0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6A465D">
              <w:rPr>
                <w:rFonts w:ascii="Cambria" w:hAnsi="Cambria"/>
                <w:sz w:val="22"/>
                <w:szCs w:val="22"/>
              </w:rPr>
              <w:t>Two Decades of Resource Mobilization Through Non-Tax Revenue: Bangladesh Panorama.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6649E0DB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E25A09">
              <w:rPr>
                <w:rFonts w:ascii="Segoe UI" w:hAnsi="Segoe UI" w:cs="Segoe UI"/>
                <w:sz w:val="24"/>
                <w:szCs w:val="24"/>
              </w:rPr>
              <w:t>, Niaz Mohammad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70E0173" w:rsidR="00A17EDF" w:rsidRPr="00A17EDF" w:rsidRDefault="00E25A0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</w:rPr>
              <w:t>BRAC</w:t>
            </w:r>
            <w:r w:rsidR="006F6A59" w:rsidRPr="006F6A59">
              <w:rPr>
                <w:rFonts w:ascii="Cambria" w:hAnsi="Cambria"/>
                <w:sz w:val="22"/>
                <w:szCs w:val="22"/>
              </w:rPr>
              <w:t xml:space="preserve"> University</w:t>
            </w:r>
            <w:r>
              <w:rPr>
                <w:rFonts w:ascii="Cambria" w:hAnsi="Cambria"/>
                <w:sz w:val="22"/>
                <w:szCs w:val="22"/>
              </w:rPr>
              <w:t xml:space="preserve">, </w:t>
            </w:r>
            <w:r w:rsidR="00451206">
              <w:rPr>
                <w:rFonts w:ascii="Cambria" w:hAnsi="Cambria"/>
                <w:sz w:val="22"/>
                <w:szCs w:val="22"/>
              </w:rPr>
              <w:t>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6B433994" w:rsidR="00A17EDF" w:rsidRPr="00A17EDF" w:rsidRDefault="009F5CB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December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>04</w:t>
            </w:r>
            <w:r w:rsidR="005A76FD">
              <w:rPr>
                <w:rFonts w:ascii="Segoe UI" w:hAnsi="Segoe UI" w:cs="Segoe UI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z w:val="24"/>
                <w:szCs w:val="24"/>
              </w:rPr>
              <w:t>05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>2</w:t>
            </w: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170EB2A" w:rsidR="00A17EDF" w:rsidRPr="00A17EDF" w:rsidRDefault="009F5CB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F5CBD">
              <w:t>https://www.bracu.ac.bd/event/3rd-international-conference-business-and-management-icbm-2021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2A3A2314" w:rsidR="00A17EDF" w:rsidRPr="00A17EDF" w:rsidRDefault="00355C92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>Non-Tax Revenue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19AAFD42" w:rsidR="00A17EDF" w:rsidRPr="0020268D" w:rsidRDefault="00355C92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Alam, M. F. &amp; Mohammad, N. (20</w:t>
            </w:r>
            <w:r>
              <w:rPr>
                <w:rFonts w:ascii="Cambria" w:hAnsi="Cambria"/>
                <w:sz w:val="22"/>
                <w:szCs w:val="22"/>
              </w:rPr>
              <w:t>21</w:t>
            </w:r>
            <w:r w:rsidRPr="009C5E64">
              <w:rPr>
                <w:rFonts w:ascii="Cambria" w:hAnsi="Cambria"/>
                <w:sz w:val="22"/>
                <w:szCs w:val="22"/>
              </w:rPr>
              <w:t xml:space="preserve">, </w:t>
            </w:r>
            <w:r>
              <w:rPr>
                <w:rFonts w:ascii="Cambria" w:hAnsi="Cambria"/>
                <w:sz w:val="22"/>
                <w:szCs w:val="22"/>
              </w:rPr>
              <w:t>Decem</w:t>
            </w:r>
            <w:r w:rsidRPr="009C5E64">
              <w:rPr>
                <w:rFonts w:ascii="Cambria" w:hAnsi="Cambria"/>
                <w:sz w:val="22"/>
                <w:szCs w:val="22"/>
              </w:rPr>
              <w:t xml:space="preserve">ber </w:t>
            </w:r>
            <w:r>
              <w:rPr>
                <w:rFonts w:ascii="Cambria" w:hAnsi="Cambria"/>
                <w:sz w:val="22"/>
                <w:szCs w:val="22"/>
              </w:rPr>
              <w:t>04</w:t>
            </w:r>
            <w:r w:rsidRPr="009C5E64">
              <w:rPr>
                <w:rFonts w:ascii="Cambria" w:hAnsi="Cambria"/>
                <w:sz w:val="22"/>
                <w:szCs w:val="22"/>
              </w:rPr>
              <w:t>-0</w:t>
            </w:r>
            <w:r>
              <w:rPr>
                <w:rFonts w:ascii="Cambria" w:hAnsi="Cambria"/>
                <w:sz w:val="22"/>
                <w:szCs w:val="22"/>
              </w:rPr>
              <w:t>5</w:t>
            </w:r>
            <w:r w:rsidRPr="009C5E64">
              <w:rPr>
                <w:rFonts w:ascii="Cambria" w:hAnsi="Cambria"/>
                <w:sz w:val="22"/>
                <w:szCs w:val="22"/>
              </w:rPr>
              <w:t xml:space="preserve">). </w:t>
            </w:r>
            <w:bookmarkStart w:id="0" w:name="_Hlk170167508"/>
            <w:r w:rsidRPr="006A465D">
              <w:rPr>
                <w:rFonts w:ascii="Cambria" w:hAnsi="Cambria"/>
                <w:sz w:val="22"/>
                <w:szCs w:val="22"/>
              </w:rPr>
              <w:t>Two Decades of Resource Mobilization Through Non-Tax Revenue: Bangladesh Panorama.</w:t>
            </w:r>
            <w:r w:rsidRPr="006A465D">
              <w:rPr>
                <w:rFonts w:ascii="Cambria" w:hAnsi="Cambria"/>
                <w:iCs/>
                <w:sz w:val="22"/>
                <w:szCs w:val="22"/>
              </w:rPr>
              <w:t xml:space="preserve"> </w:t>
            </w:r>
            <w:bookmarkEnd w:id="0"/>
            <w:r w:rsidRPr="006A465D">
              <w:rPr>
                <w:rFonts w:ascii="Cambria" w:hAnsi="Cambria"/>
                <w:iCs/>
                <w:sz w:val="22"/>
                <w:szCs w:val="22"/>
              </w:rPr>
              <w:t>In</w:t>
            </w:r>
            <w:r w:rsidRPr="006A465D">
              <w:rPr>
                <w:rFonts w:ascii="Cambria" w:hAnsi="Cambria"/>
                <w:i/>
                <w:sz w:val="22"/>
                <w:szCs w:val="22"/>
              </w:rPr>
              <w:t xml:space="preserve"> Proceedings of </w:t>
            </w:r>
            <w:bookmarkStart w:id="1" w:name="_Hlk170167537"/>
            <w:r w:rsidRPr="006A465D">
              <w:rPr>
                <w:rFonts w:ascii="Cambria" w:hAnsi="Cambria"/>
                <w:i/>
                <w:sz w:val="22"/>
                <w:szCs w:val="22"/>
              </w:rPr>
              <w:t>3</w:t>
            </w:r>
            <w:r w:rsidRPr="006A465D">
              <w:rPr>
                <w:rFonts w:ascii="Cambria" w:hAnsi="Cambria"/>
                <w:i/>
                <w:sz w:val="22"/>
                <w:szCs w:val="22"/>
                <w:vertAlign w:val="superscript"/>
              </w:rPr>
              <w:t>rd</w:t>
            </w:r>
            <w:r w:rsidRPr="006A465D">
              <w:rPr>
                <w:rFonts w:ascii="Cambria" w:hAnsi="Cambria"/>
                <w:i/>
                <w:sz w:val="22"/>
                <w:szCs w:val="22"/>
              </w:rPr>
              <w:t xml:space="preserve"> International Conference on Business and Management</w:t>
            </w:r>
            <w:bookmarkEnd w:id="1"/>
            <w:r w:rsidRPr="006A465D">
              <w:rPr>
                <w:rFonts w:ascii="Cambria" w:hAnsi="Cambria"/>
                <w:sz w:val="22"/>
                <w:szCs w:val="22"/>
              </w:rPr>
              <w:t xml:space="preserve">, </w:t>
            </w:r>
            <w:bookmarkStart w:id="2" w:name="_Hlk170167621"/>
            <w:r w:rsidRPr="006A465D">
              <w:rPr>
                <w:rFonts w:ascii="Cambria" w:hAnsi="Cambria"/>
                <w:color w:val="050505"/>
                <w:sz w:val="22"/>
                <w:szCs w:val="22"/>
              </w:rPr>
              <w:t>BRAC Business School, BRAC University</w:t>
            </w:r>
            <w:r w:rsidRPr="006A465D">
              <w:rPr>
                <w:rFonts w:ascii="Cambria" w:hAnsi="Cambria"/>
                <w:sz w:val="22"/>
                <w:szCs w:val="22"/>
              </w:rPr>
              <w:t>, Dhaka</w:t>
            </w:r>
            <w:bookmarkEnd w:id="2"/>
            <w:r w:rsidRPr="006A465D">
              <w:rPr>
                <w:rFonts w:ascii="Cambria" w:hAnsi="Cambria"/>
                <w:sz w:val="22"/>
                <w:szCs w:val="22"/>
              </w:rPr>
              <w:t>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73C5A1FF" w:rsidR="00D77F1B" w:rsidRPr="00257BA9" w:rsidRDefault="00A26C05" w:rsidP="00A26C05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Despite having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tremendous and steady annual GDP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growth exceeding 7 percent for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consecutive four years (FY 2015-16 to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FY 2018-19) during the pre-COVID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Pandemic era, resource mobilization in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Bangladesh economy has been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experiencing low and almost stagnant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revenue- GDP ratio of around 12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percent for past several years. In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government’s revenue pie,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contribution of non-tax revenue is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very insignificant (slightly above 1%)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with a decreasing trend in terms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non-tax revenue GDP ratio over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years in the last two decades.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lion’s share of non-tax revenue comes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from interest income, administrative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fees, receipts from services, non-tax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receipts, and non-commercial sales.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The study has observed most of the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non-tax revenue instruments as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volatile with uneven growth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fluctuations. The considerable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potential for raising non-tax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revenues is hampered due to several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reasons, namely, absence of central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monitoring, lack of sufficient feasible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reform measures, inefficient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performance of state-owned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enterprises, lack of responsible human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resources in concerned departments,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lack of control mechanism to tackle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illicit fund misuse, scarcity of suitable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infrastructure, and lack of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coordination among several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government bodies. Despite the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volatility and recent declines, relevant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reform initiatives may widen the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potential of non-tax revenue to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contribute more to the government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treasury. Such enhancement may help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the government not only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in tackling the economic damage due to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the COVID-19 Pandemic in the short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run but also to achieve the 17 SDGs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under the 2030 UN agenda for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Sustainable Development in the long</w:t>
            </w:r>
            <w:r w:rsidR="00633C3E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26C05">
              <w:rPr>
                <w:rFonts w:ascii="Open Sans" w:hAnsi="Open Sans" w:cs="Open Sans"/>
                <w:color w:val="333333"/>
                <w:sz w:val="26"/>
                <w:szCs w:val="26"/>
              </w:rPr>
              <w:t>run.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18BD89B" w:rsidR="00D77F1B" w:rsidRPr="00D77F1B" w:rsidRDefault="00874CC5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</w:t>
            </w:r>
            <w:r w:rsidR="00A957DF">
              <w:rPr>
                <w:rFonts w:ascii="Segoe UI" w:hAnsi="Segoe UI" w:cs="Segoe UI"/>
                <w:sz w:val="24"/>
                <w:szCs w:val="24"/>
              </w:rPr>
              <w:t>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95EA7" w14:textId="77777777" w:rsidR="00C23A63" w:rsidRDefault="00C23A63" w:rsidP="00C9238F">
      <w:pPr>
        <w:spacing w:after="0" w:line="240" w:lineRule="auto"/>
      </w:pPr>
      <w:r>
        <w:separator/>
      </w:r>
    </w:p>
  </w:endnote>
  <w:endnote w:type="continuationSeparator" w:id="0">
    <w:p w14:paraId="025D53AA" w14:textId="77777777" w:rsidR="00C23A63" w:rsidRDefault="00C23A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534AAB-ACC9-4E31-97A3-B67326A08F64}"/>
    <w:embedBold r:id="rId2" w:fontKey="{A2130A68-8B75-4E09-B884-FA9F7AF64377}"/>
    <w:embedItalic r:id="rId3" w:fontKey="{557D35C9-2369-4F49-8C15-5819607F2FE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F58EA61-9A0A-4731-A2C8-D4A1C5159CC6}"/>
    <w:embedBold r:id="rId5" w:fontKey="{9AB09777-4BA3-4309-8E3B-68813C385A9D}"/>
    <w:embedItalic r:id="rId6" w:fontKey="{044F7E63-B924-4660-92EF-17805844311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3FB443EB-7521-479D-812B-33AB3CF25517}"/>
    <w:embedBold r:id="rId8" w:fontKey="{9A918982-0592-4A6C-8564-37E5042B8DAF}"/>
    <w:embedItalic r:id="rId9" w:fontKey="{31204E0B-3451-43C3-B282-3437C5CE5E1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6A05728-F56C-4C30-AFFF-283F45BF65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1FFB114-71CD-4305-B832-BE505F54EC8D}"/>
    <w:embedBold r:id="rId12" w:fontKey="{B7DB6FD8-9BB0-43A7-BAFC-C5D384186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B4C560B-3461-417C-B9AB-C4B923CC439C}"/>
    <w:embedItalic r:id="rId14" w:fontKey="{DCFD1F74-70C0-44CA-A03A-F3082D670AD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F22C56E6-BE2C-4EEC-A564-070567FA6C05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A442B924-EF62-4108-BCD6-1F7FC93C4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7ECBF" w14:textId="77777777" w:rsidR="00C23A63" w:rsidRDefault="00C23A63" w:rsidP="00C9238F">
      <w:pPr>
        <w:spacing w:after="0" w:line="240" w:lineRule="auto"/>
      </w:pPr>
      <w:r>
        <w:separator/>
      </w:r>
    </w:p>
  </w:footnote>
  <w:footnote w:type="continuationSeparator" w:id="0">
    <w:p w14:paraId="051F3E0E" w14:textId="77777777" w:rsidR="00C23A63" w:rsidRDefault="00C23A6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F7B9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46DF9"/>
    <w:rsid w:val="00257BA9"/>
    <w:rsid w:val="00283C2D"/>
    <w:rsid w:val="0028548A"/>
    <w:rsid w:val="002B48DF"/>
    <w:rsid w:val="002C56E6"/>
    <w:rsid w:val="002D0D6B"/>
    <w:rsid w:val="002D3238"/>
    <w:rsid w:val="002D560C"/>
    <w:rsid w:val="002D7311"/>
    <w:rsid w:val="002F2AC1"/>
    <w:rsid w:val="002F3052"/>
    <w:rsid w:val="00321448"/>
    <w:rsid w:val="00322C8A"/>
    <w:rsid w:val="00326E3F"/>
    <w:rsid w:val="00354AA3"/>
    <w:rsid w:val="00355C92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883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17D99"/>
    <w:rsid w:val="00522B79"/>
    <w:rsid w:val="00526CE2"/>
    <w:rsid w:val="00551BEC"/>
    <w:rsid w:val="005535C8"/>
    <w:rsid w:val="0055411F"/>
    <w:rsid w:val="005559F1"/>
    <w:rsid w:val="00567E00"/>
    <w:rsid w:val="005753A6"/>
    <w:rsid w:val="00576892"/>
    <w:rsid w:val="00577E06"/>
    <w:rsid w:val="00581F5D"/>
    <w:rsid w:val="00587E1B"/>
    <w:rsid w:val="005A2A9F"/>
    <w:rsid w:val="005A3BF7"/>
    <w:rsid w:val="005A76FD"/>
    <w:rsid w:val="005B4BDC"/>
    <w:rsid w:val="005B50A8"/>
    <w:rsid w:val="005B71DD"/>
    <w:rsid w:val="005C38C1"/>
    <w:rsid w:val="005C5B3E"/>
    <w:rsid w:val="005C7AE7"/>
    <w:rsid w:val="005D1418"/>
    <w:rsid w:val="005E19AD"/>
    <w:rsid w:val="005F2035"/>
    <w:rsid w:val="005F7990"/>
    <w:rsid w:val="00633C3E"/>
    <w:rsid w:val="00635C97"/>
    <w:rsid w:val="0063739C"/>
    <w:rsid w:val="00643604"/>
    <w:rsid w:val="00644825"/>
    <w:rsid w:val="0065484B"/>
    <w:rsid w:val="00655498"/>
    <w:rsid w:val="006704DF"/>
    <w:rsid w:val="00692211"/>
    <w:rsid w:val="006D189D"/>
    <w:rsid w:val="006D5827"/>
    <w:rsid w:val="006D64BA"/>
    <w:rsid w:val="006F6A59"/>
    <w:rsid w:val="007011DE"/>
    <w:rsid w:val="00704410"/>
    <w:rsid w:val="00706A22"/>
    <w:rsid w:val="00712EDA"/>
    <w:rsid w:val="0073710F"/>
    <w:rsid w:val="007455CF"/>
    <w:rsid w:val="00754C3E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E203A"/>
    <w:rsid w:val="008E2DBA"/>
    <w:rsid w:val="008F3D44"/>
    <w:rsid w:val="008F522D"/>
    <w:rsid w:val="00900C18"/>
    <w:rsid w:val="00905428"/>
    <w:rsid w:val="00912136"/>
    <w:rsid w:val="0091229C"/>
    <w:rsid w:val="00920221"/>
    <w:rsid w:val="00940E73"/>
    <w:rsid w:val="00945605"/>
    <w:rsid w:val="00952407"/>
    <w:rsid w:val="00964514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5CBD"/>
    <w:rsid w:val="009F619A"/>
    <w:rsid w:val="009F6DDE"/>
    <w:rsid w:val="009F77CA"/>
    <w:rsid w:val="00A05D58"/>
    <w:rsid w:val="00A1613A"/>
    <w:rsid w:val="00A17EDF"/>
    <w:rsid w:val="00A213E4"/>
    <w:rsid w:val="00A241AB"/>
    <w:rsid w:val="00A26C05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E37B2"/>
    <w:rsid w:val="00AF11A0"/>
    <w:rsid w:val="00AF30B2"/>
    <w:rsid w:val="00AF6BFE"/>
    <w:rsid w:val="00AF784C"/>
    <w:rsid w:val="00B41061"/>
    <w:rsid w:val="00B46A51"/>
    <w:rsid w:val="00B5382F"/>
    <w:rsid w:val="00B71A74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3A63"/>
    <w:rsid w:val="00C26236"/>
    <w:rsid w:val="00C270E9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31E76"/>
    <w:rsid w:val="00D40AB0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1E72"/>
    <w:rsid w:val="00E25A09"/>
    <w:rsid w:val="00E35E58"/>
    <w:rsid w:val="00E52523"/>
    <w:rsid w:val="00E61C09"/>
    <w:rsid w:val="00E6281B"/>
    <w:rsid w:val="00E62FC6"/>
    <w:rsid w:val="00E63E49"/>
    <w:rsid w:val="00E708F9"/>
    <w:rsid w:val="00E7128A"/>
    <w:rsid w:val="00E94341"/>
    <w:rsid w:val="00EA2F53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