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0C0DFC" w14:textId="77777777" w:rsidR="00A17EDF" w:rsidRDefault="00A17EDF">
      <w:pPr>
        <w:rPr>
          <w:rFonts w:cstheme="minorHAnsi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752"/>
      </w:tblGrid>
      <w:tr w:rsidR="00A17EDF" w:rsidRPr="00A17EDF" w14:paraId="7BD01D26" w14:textId="77777777" w:rsidTr="00B46A51">
        <w:trPr>
          <w:trHeight w:val="615"/>
        </w:trPr>
        <w:tc>
          <w:tcPr>
            <w:tcW w:w="1257" w:type="pct"/>
          </w:tcPr>
          <w:p w14:paraId="18818119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Title</w:t>
            </w:r>
          </w:p>
        </w:tc>
        <w:tc>
          <w:tcPr>
            <w:tcW w:w="3743" w:type="pct"/>
            <w:tcBorders>
              <w:top w:val="single" w:sz="18" w:space="0" w:color="007F00"/>
              <w:bottom w:val="single" w:sz="4" w:space="0" w:color="007F00"/>
            </w:tcBorders>
          </w:tcPr>
          <w:p w14:paraId="3B425BFF" w14:textId="69613572" w:rsidR="00A17EDF" w:rsidRPr="00A17EDF" w:rsidRDefault="00954618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394E44">
              <w:rPr>
                <w:rFonts w:asciiTheme="majorHAnsi" w:hAnsiTheme="majorHAnsi"/>
                <w:sz w:val="22"/>
                <w:szCs w:val="22"/>
              </w:rPr>
              <w:t>An Assessment of the Achievements and Challenges towards a Balanced Tax System in Bangladesh: A Decade of Direct vs. Indirect Taxes.</w:t>
            </w:r>
          </w:p>
        </w:tc>
      </w:tr>
      <w:tr w:rsidR="00A17EDF" w:rsidRPr="00A17EDF" w14:paraId="1D2852A5" w14:textId="77777777" w:rsidTr="00B46A51">
        <w:trPr>
          <w:trHeight w:val="615"/>
        </w:trPr>
        <w:tc>
          <w:tcPr>
            <w:tcW w:w="1257" w:type="pct"/>
          </w:tcPr>
          <w:p w14:paraId="79FB4100" w14:textId="351CF2A0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Author(s)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8321" w14:textId="5FC2AD28" w:rsidR="00A17EDF" w:rsidRPr="00A17EDF" w:rsidRDefault="00754C3E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754C3E">
              <w:rPr>
                <w:rFonts w:ascii="Segoe UI" w:hAnsi="Segoe UI" w:cs="Segoe UI"/>
                <w:sz w:val="24"/>
                <w:szCs w:val="24"/>
              </w:rPr>
              <w:t>Mohammad Faridul Alam</w:t>
            </w:r>
            <w:r w:rsidR="00954618">
              <w:rPr>
                <w:rFonts w:ascii="Segoe UI" w:hAnsi="Segoe UI" w:cs="Segoe UI"/>
                <w:sz w:val="24"/>
                <w:szCs w:val="24"/>
              </w:rPr>
              <w:t>; Niaz</w:t>
            </w:r>
            <w:r w:rsidR="00750772">
              <w:rPr>
                <w:rFonts w:ascii="Segoe UI" w:hAnsi="Segoe UI" w:cs="Segoe UI"/>
                <w:sz w:val="24"/>
                <w:szCs w:val="24"/>
              </w:rPr>
              <w:t xml:space="preserve"> Mohammad</w:t>
            </w:r>
          </w:p>
        </w:tc>
      </w:tr>
      <w:tr w:rsidR="00A17EDF" w:rsidRPr="00A17EDF" w14:paraId="11851DF2" w14:textId="77777777" w:rsidTr="00B46A51">
        <w:trPr>
          <w:trHeight w:val="615"/>
        </w:trPr>
        <w:tc>
          <w:tcPr>
            <w:tcW w:w="1257" w:type="pct"/>
          </w:tcPr>
          <w:p w14:paraId="2EF74CA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Contact Email(s)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04350F1" w14:textId="1EDF9134" w:rsidR="00A17EDF" w:rsidRPr="00A17EDF" w:rsidRDefault="00032EE6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m</w:t>
            </w:r>
            <w:r w:rsidR="006D5827">
              <w:rPr>
                <w:rFonts w:ascii="Segoe UI" w:hAnsi="Segoe UI" w:cs="Segoe UI"/>
                <w:sz w:val="24"/>
                <w:szCs w:val="24"/>
              </w:rPr>
              <w:t>f</w:t>
            </w:r>
            <w:r>
              <w:rPr>
                <w:rFonts w:ascii="Segoe UI" w:hAnsi="Segoe UI" w:cs="Segoe UI"/>
                <w:sz w:val="24"/>
                <w:szCs w:val="24"/>
              </w:rPr>
              <w:t>.alam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@aiub.edu</w:t>
            </w:r>
          </w:p>
        </w:tc>
      </w:tr>
      <w:tr w:rsidR="00A17EDF" w:rsidRPr="00A17EDF" w14:paraId="43B2CD96" w14:textId="77777777" w:rsidTr="00B46A51">
        <w:trPr>
          <w:trHeight w:val="615"/>
        </w:trPr>
        <w:tc>
          <w:tcPr>
            <w:tcW w:w="1257" w:type="pct"/>
          </w:tcPr>
          <w:p w14:paraId="3ADA9213" w14:textId="7734E3C4" w:rsidR="00A17EDF" w:rsidRPr="001347BA" w:rsidRDefault="00551BEC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>
              <w:rPr>
                <w:rFonts w:ascii="Segoe UI" w:hAnsi="Segoe UI" w:cs="Segoe UI"/>
                <w:color w:val="007F00"/>
                <w:sz w:val="24"/>
                <w:szCs w:val="24"/>
              </w:rPr>
              <w:t xml:space="preserve">Conference </w:t>
            </w:r>
            <w:r w:rsidR="0040071F">
              <w:rPr>
                <w:rFonts w:ascii="Segoe UI" w:hAnsi="Segoe UI" w:cs="Segoe UI"/>
                <w:color w:val="007F00"/>
                <w:sz w:val="24"/>
                <w:szCs w:val="24"/>
              </w:rPr>
              <w:t>name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E22AF7A" w14:textId="29CEB126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24725965" w14:textId="77777777" w:rsidTr="00B46A51">
        <w:trPr>
          <w:trHeight w:val="615"/>
        </w:trPr>
        <w:tc>
          <w:tcPr>
            <w:tcW w:w="1257" w:type="pct"/>
          </w:tcPr>
          <w:p w14:paraId="3D85CD7B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Type of Publication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128C74B" w14:textId="7C454D10" w:rsidR="00A17EDF" w:rsidRPr="00A17EDF" w:rsidRDefault="00A32066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Conference Proceedings</w:t>
            </w:r>
          </w:p>
        </w:tc>
      </w:tr>
      <w:tr w:rsidR="00A17EDF" w:rsidRPr="00A17EDF" w14:paraId="0DE69A3A" w14:textId="77777777" w:rsidTr="00B46A51">
        <w:trPr>
          <w:trHeight w:val="615"/>
        </w:trPr>
        <w:tc>
          <w:tcPr>
            <w:tcW w:w="1257" w:type="pct"/>
          </w:tcPr>
          <w:p w14:paraId="51DC46AA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Volume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40BA5DB" w14:textId="09AA6683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3E30FB1F" w14:textId="77777777" w:rsidTr="00B46A51">
        <w:trPr>
          <w:trHeight w:val="615"/>
        </w:trPr>
        <w:tc>
          <w:tcPr>
            <w:tcW w:w="1257" w:type="pct"/>
          </w:tcPr>
          <w:p w14:paraId="5E716DD0" w14:textId="318664D2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Issue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08EB7E1" w14:textId="692B6144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164AE3B7" w14:textId="77777777" w:rsidTr="00B46A51">
        <w:trPr>
          <w:trHeight w:val="615"/>
        </w:trPr>
        <w:tc>
          <w:tcPr>
            <w:tcW w:w="1257" w:type="pct"/>
          </w:tcPr>
          <w:p w14:paraId="62B76A7A" w14:textId="2611112A" w:rsidR="00A17EDF" w:rsidRPr="001347BA" w:rsidRDefault="00DC6A1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>
              <w:rPr>
                <w:rFonts w:ascii="Segoe UI" w:hAnsi="Segoe UI" w:cs="Segoe UI"/>
                <w:color w:val="007F00"/>
                <w:sz w:val="24"/>
                <w:szCs w:val="24"/>
              </w:rPr>
              <w:t>Place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17CA822" w14:textId="2C189296" w:rsidR="00A17EDF" w:rsidRPr="00A17EDF" w:rsidRDefault="00577682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394E44">
              <w:rPr>
                <w:rFonts w:asciiTheme="majorHAnsi" w:hAnsiTheme="majorHAnsi"/>
                <w:sz w:val="22"/>
                <w:szCs w:val="22"/>
              </w:rPr>
              <w:t>BIAM Foundation, Dhaka</w:t>
            </w:r>
          </w:p>
        </w:tc>
      </w:tr>
      <w:tr w:rsidR="00A17EDF" w:rsidRPr="00A17EDF" w14:paraId="7E0F69B9" w14:textId="77777777" w:rsidTr="00B46A51">
        <w:trPr>
          <w:trHeight w:val="615"/>
        </w:trPr>
        <w:tc>
          <w:tcPr>
            <w:tcW w:w="1257" w:type="pct"/>
          </w:tcPr>
          <w:p w14:paraId="520EA245" w14:textId="2BA1CD98" w:rsidR="00A17EDF" w:rsidRPr="001347BA" w:rsidRDefault="005C5B3E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>
              <w:rPr>
                <w:rFonts w:ascii="Segoe UI" w:hAnsi="Segoe UI" w:cs="Segoe UI"/>
                <w:color w:val="007F00"/>
                <w:sz w:val="24"/>
                <w:szCs w:val="24"/>
              </w:rPr>
              <w:t>Conference</w:t>
            </w:r>
            <w:r w:rsidR="00A17EDF"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 xml:space="preserve"> Date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741327" w14:textId="00C180A5" w:rsidR="00A17EDF" w:rsidRPr="00A17EDF" w:rsidRDefault="00577682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Cambria" w:hAnsi="Cambria"/>
                <w:sz w:val="22"/>
                <w:szCs w:val="22"/>
              </w:rPr>
              <w:t>December</w:t>
            </w:r>
            <w:r w:rsidR="00565250" w:rsidRPr="009C5E64">
              <w:rPr>
                <w:rFonts w:ascii="Cambria" w:hAnsi="Cambria"/>
                <w:sz w:val="22"/>
                <w:szCs w:val="22"/>
              </w:rPr>
              <w:t xml:space="preserve"> 2</w:t>
            </w:r>
            <w:r>
              <w:rPr>
                <w:rFonts w:ascii="Cambria" w:hAnsi="Cambria"/>
                <w:sz w:val="22"/>
                <w:szCs w:val="22"/>
              </w:rPr>
              <w:t>2</w:t>
            </w:r>
            <w:r w:rsidR="00565250" w:rsidRPr="009C5E64">
              <w:rPr>
                <w:rFonts w:ascii="Cambria" w:hAnsi="Cambria"/>
                <w:sz w:val="22"/>
                <w:szCs w:val="22"/>
              </w:rPr>
              <w:t>-2</w:t>
            </w:r>
            <w:r>
              <w:rPr>
                <w:rFonts w:ascii="Cambria" w:hAnsi="Cambria"/>
                <w:sz w:val="22"/>
                <w:szCs w:val="22"/>
              </w:rPr>
              <w:t>3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, 20</w:t>
            </w:r>
            <w:r w:rsidR="009238A9">
              <w:rPr>
                <w:rFonts w:ascii="Segoe UI" w:hAnsi="Segoe UI" w:cs="Segoe UI"/>
                <w:sz w:val="24"/>
                <w:szCs w:val="24"/>
              </w:rPr>
              <w:t>1</w:t>
            </w:r>
            <w:r>
              <w:rPr>
                <w:rFonts w:ascii="Segoe UI" w:hAnsi="Segoe UI" w:cs="Segoe UI"/>
                <w:sz w:val="24"/>
                <w:szCs w:val="24"/>
              </w:rPr>
              <w:t>7</w:t>
            </w:r>
          </w:p>
        </w:tc>
      </w:tr>
      <w:tr w:rsidR="00A17EDF" w:rsidRPr="00A17EDF" w14:paraId="0F93F891" w14:textId="77777777" w:rsidTr="00B46A51">
        <w:trPr>
          <w:trHeight w:val="615"/>
        </w:trPr>
        <w:tc>
          <w:tcPr>
            <w:tcW w:w="1257" w:type="pct"/>
          </w:tcPr>
          <w:p w14:paraId="3057E501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2883" w14:textId="22EC16D6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642FCF58" w14:textId="77777777" w:rsidTr="00B46A51">
        <w:trPr>
          <w:trHeight w:val="615"/>
        </w:trPr>
        <w:tc>
          <w:tcPr>
            <w:tcW w:w="1257" w:type="pct"/>
          </w:tcPr>
          <w:p w14:paraId="3AB39763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DOI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C37A19" w14:textId="28941C1A" w:rsidR="00A17EDF" w:rsidRPr="00B5382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2D75E798" w14:textId="77777777" w:rsidTr="00B46A51">
        <w:trPr>
          <w:trHeight w:val="615"/>
        </w:trPr>
        <w:tc>
          <w:tcPr>
            <w:tcW w:w="1257" w:type="pct"/>
          </w:tcPr>
          <w:p w14:paraId="1932610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URL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CC00468" w14:textId="1D424901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12288075" w14:textId="77777777" w:rsidTr="00B46A51">
        <w:trPr>
          <w:trHeight w:val="615"/>
        </w:trPr>
        <w:tc>
          <w:tcPr>
            <w:tcW w:w="1257" w:type="pct"/>
          </w:tcPr>
          <w:p w14:paraId="1F427595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Other Related Info.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3A593EB" w14:textId="663D5C0D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562E3AF5" w14:textId="77777777" w:rsidTr="00B46A51">
        <w:trPr>
          <w:trHeight w:val="1186"/>
        </w:trPr>
        <w:tc>
          <w:tcPr>
            <w:tcW w:w="1257" w:type="pct"/>
          </w:tcPr>
          <w:p w14:paraId="36D4B310" w14:textId="7E218346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Keywords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8E64D3F" w14:textId="552D2AD3" w:rsidR="00A17EDF" w:rsidRPr="00A17EDF" w:rsidRDefault="00AD5EAF" w:rsidP="0021153F">
            <w:pPr>
              <w:spacing w:before="60" w:after="60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AD5EAF">
              <w:rPr>
                <w:rFonts w:ascii="Helvetica" w:hAnsi="Helvetica" w:cs="Helvetica"/>
                <w:color w:val="000000"/>
                <w:sz w:val="24"/>
                <w:szCs w:val="24"/>
              </w:rPr>
              <w:t>Tax Structure, Tax revenue. Direct tax, Indirect tax, Tax GDP ratio</w:t>
            </w:r>
          </w:p>
        </w:tc>
      </w:tr>
      <w:tr w:rsidR="00A17EDF" w:rsidRPr="00A17EDF" w14:paraId="326B3683" w14:textId="77777777" w:rsidTr="00B46A51">
        <w:trPr>
          <w:trHeight w:val="1186"/>
        </w:trPr>
        <w:tc>
          <w:tcPr>
            <w:tcW w:w="1257" w:type="pct"/>
          </w:tcPr>
          <w:p w14:paraId="4698B760" w14:textId="66B61109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Citation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18" w:space="0" w:color="007F00"/>
            </w:tcBorders>
          </w:tcPr>
          <w:p w14:paraId="6BBFA6B4" w14:textId="4D5A9514" w:rsidR="00A17EDF" w:rsidRPr="0020268D" w:rsidRDefault="005B0B9D" w:rsidP="0020268D">
            <w:pPr>
              <w:spacing w:before="60" w:after="60"/>
              <w:rPr>
                <w:rFonts w:ascii="Segoe UI Light" w:hAnsi="Segoe UI Light" w:cs="Segoe UI Light"/>
                <w:sz w:val="22"/>
                <w:szCs w:val="22"/>
              </w:rPr>
            </w:pPr>
            <w:r w:rsidRPr="005B0B9D">
              <w:rPr>
                <w:rFonts w:ascii="Cambria" w:hAnsi="Cambria"/>
                <w:sz w:val="22"/>
                <w:szCs w:val="22"/>
              </w:rPr>
              <w:t>Alam, M. F., &amp; Mohammad, N. (2017, December 22-23). An Assessment of the Achievements and Challenges towards a Balanced Tax System in Bangladesh: A Decade of Direct vs. Indirect Taxes. In Proceedings of 15th Asian Business Research Conference, ISBN: 978-1-925488-59-3; BIAM Foundation, Dhaka, Bangladesh.</w:t>
            </w:r>
          </w:p>
        </w:tc>
      </w:tr>
    </w:tbl>
    <w:p w14:paraId="368EFAEB" w14:textId="4703E243" w:rsidR="00852B20" w:rsidRPr="00DA5122" w:rsidRDefault="00852B20">
      <w:pPr>
        <w:rPr>
          <w:rFonts w:cstheme="minorHAnsi"/>
        </w:rPr>
      </w:pPr>
      <w:r w:rsidRPr="00DA5122">
        <w:rPr>
          <w:rFonts w:cstheme="minorHAnsi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0"/>
      </w:tblGrid>
      <w:tr w:rsidR="00D77F1B" w:rsidRPr="00D77F1B" w14:paraId="5DCF01B1" w14:textId="77777777" w:rsidTr="00B46A51">
        <w:tc>
          <w:tcPr>
            <w:tcW w:w="5000" w:type="pct"/>
            <w:tcBorders>
              <w:bottom w:val="single" w:sz="18" w:space="0" w:color="007F00"/>
            </w:tcBorders>
          </w:tcPr>
          <w:p w14:paraId="6FD8735F" w14:textId="137A62A5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lastRenderedPageBreak/>
              <w:t>Abstract</w:t>
            </w:r>
          </w:p>
        </w:tc>
      </w:tr>
      <w:tr w:rsidR="00EB18A6" w:rsidRPr="00D77F1B" w14:paraId="0A38678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6980B8A4" w14:textId="50FCEBC5" w:rsidR="00EB18A6" w:rsidRPr="00257BA9" w:rsidRDefault="008C627E" w:rsidP="00532C33">
            <w:pPr>
              <w:spacing w:before="60" w:after="60"/>
              <w:jc w:val="both"/>
              <w:rPr>
                <w:rFonts w:ascii="Open Sans" w:hAnsi="Open Sans" w:cs="Open Sans"/>
                <w:color w:val="333333"/>
                <w:sz w:val="26"/>
                <w:szCs w:val="26"/>
              </w:rPr>
            </w:pPr>
            <w:r w:rsidRPr="008C627E">
              <w:rPr>
                <w:rFonts w:ascii="Segoe UI" w:hAnsi="Segoe UI" w:cs="Segoe UI"/>
                <w:sz w:val="24"/>
                <w:szCs w:val="24"/>
              </w:rPr>
              <w:t>Despite achieving 7.28% GDP growth in 2016-17, the highest ever in history of</w:t>
            </w:r>
            <w:r w:rsidRPr="008C627E">
              <w:rPr>
                <w:rFonts w:ascii="Segoe UI" w:hAnsi="Segoe UI" w:cs="Segoe UI"/>
                <w:sz w:val="24"/>
                <w:szCs w:val="24"/>
              </w:rPr>
              <w:cr/>
              <w:t>country’s economy, Bangladesh has ascertained only 10.8 Tax-GDP ratio which is</w:t>
            </w:r>
            <w:r w:rsidRPr="008C627E">
              <w:rPr>
                <w:rFonts w:ascii="Segoe UI" w:hAnsi="Segoe UI" w:cs="Segoe UI"/>
                <w:sz w:val="24"/>
                <w:szCs w:val="24"/>
              </w:rPr>
              <w:cr/>
              <w:t>one of the lowest among the SAARC countries. This poor tax performance has</w:t>
            </w:r>
            <w:r w:rsidRPr="008C627E">
              <w:rPr>
                <w:rFonts w:ascii="Segoe UI" w:hAnsi="Segoe UI" w:cs="Segoe UI"/>
                <w:sz w:val="24"/>
                <w:szCs w:val="24"/>
              </w:rPr>
              <w:cr/>
              <w:t>triggered the doubt of not achieving the government’s 7th Five-Year Plan Target</w:t>
            </w:r>
            <w:r w:rsidRPr="008C627E">
              <w:rPr>
                <w:rFonts w:ascii="Segoe UI" w:hAnsi="Segoe UI" w:cs="Segoe UI"/>
                <w:sz w:val="24"/>
                <w:szCs w:val="24"/>
              </w:rPr>
              <w:cr/>
              <w:t>Tax-GDP ratio of 14.1 by 2020. The study considered secondary data from 2007-</w:t>
            </w:r>
            <w:r w:rsidRPr="008C627E">
              <w:rPr>
                <w:rFonts w:ascii="Segoe UI" w:hAnsi="Segoe UI" w:cs="Segoe UI"/>
                <w:sz w:val="24"/>
                <w:szCs w:val="24"/>
              </w:rPr>
              <w:cr/>
              <w:t>08 to 2016-17, the most recent decade. It has been found that tax revenue</w:t>
            </w:r>
            <w:r w:rsidRPr="008C627E">
              <w:rPr>
                <w:rFonts w:ascii="Segoe UI" w:hAnsi="Segoe UI" w:cs="Segoe UI"/>
                <w:sz w:val="24"/>
                <w:szCs w:val="24"/>
              </w:rPr>
              <w:cr/>
              <w:t>consists of around 87% of the government revenue of which 96.5% is collected by</w:t>
            </w:r>
            <w:r w:rsidRPr="008C627E">
              <w:rPr>
                <w:rFonts w:ascii="Segoe UI" w:hAnsi="Segoe UI" w:cs="Segoe UI"/>
                <w:sz w:val="24"/>
                <w:szCs w:val="24"/>
              </w:rPr>
              <w:cr/>
              <w:t>NBR. Having less than 1% of its population under income tax net, the tax structure</w:t>
            </w:r>
            <w:r w:rsidRPr="008C627E">
              <w:rPr>
                <w:rFonts w:ascii="Segoe UI" w:hAnsi="Segoe UI" w:cs="Segoe UI"/>
                <w:sz w:val="24"/>
                <w:szCs w:val="24"/>
              </w:rPr>
              <w:cr/>
              <w:t>is dominated by the indirect tax burden, although the direct to indirect tax ratio has</w:t>
            </w:r>
            <w:r w:rsidRPr="008C627E">
              <w:rPr>
                <w:rFonts w:ascii="Segoe UI" w:hAnsi="Segoe UI" w:cs="Segoe UI"/>
                <w:sz w:val="24"/>
                <w:szCs w:val="24"/>
              </w:rPr>
              <w:cr/>
              <w:t>been improved significantly from 26%:74% to 37%:63% during the decade,</w:t>
            </w:r>
            <w:r w:rsidRPr="008C627E">
              <w:rPr>
                <w:rFonts w:ascii="Segoe UI" w:hAnsi="Segoe UI" w:cs="Segoe UI"/>
                <w:sz w:val="24"/>
                <w:szCs w:val="24"/>
              </w:rPr>
              <w:cr/>
              <w:t>resulting towards a balanced tax structure. The study reveals the government’s</w:t>
            </w:r>
            <w:r w:rsidRPr="008C627E">
              <w:rPr>
                <w:rFonts w:ascii="Segoe UI" w:hAnsi="Segoe UI" w:cs="Segoe UI"/>
                <w:sz w:val="24"/>
                <w:szCs w:val="24"/>
              </w:rPr>
              <w:cr/>
              <w:t>efforts to reform the tax administration with a view to tackling the tax evasion and</w:t>
            </w:r>
            <w:r w:rsidRPr="008C627E">
              <w:rPr>
                <w:rFonts w:ascii="Segoe UI" w:hAnsi="Segoe UI" w:cs="Segoe UI"/>
                <w:sz w:val="24"/>
                <w:szCs w:val="24"/>
              </w:rPr>
              <w:cr/>
              <w:t>avoidance through enhancing the efficiency of tax administration. The appropriate</w:t>
            </w:r>
            <w:r w:rsidRPr="008C627E">
              <w:rPr>
                <w:rFonts w:ascii="Segoe UI" w:hAnsi="Segoe UI" w:cs="Segoe UI"/>
                <w:sz w:val="24"/>
                <w:szCs w:val="24"/>
              </w:rPr>
              <w:cr/>
              <w:t>reform measures will enhance the tax compliance, resulting the significant</w:t>
            </w:r>
            <w:r w:rsidRPr="008C627E">
              <w:rPr>
                <w:rFonts w:ascii="Segoe UI" w:hAnsi="Segoe UI" w:cs="Segoe UI"/>
                <w:sz w:val="24"/>
                <w:szCs w:val="24"/>
              </w:rPr>
              <w:cr/>
              <w:t>improvement of Tax-GDP Ratio.</w:t>
            </w:r>
          </w:p>
        </w:tc>
      </w:tr>
      <w:tr w:rsidR="00D77F1B" w:rsidRPr="00D77F1B" w14:paraId="483E412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0A390CAC" w14:textId="77777777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</w:p>
          <w:p w14:paraId="30E7D0B3" w14:textId="01B8D089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Sustainable Development Goal(s) (SDG)</w:t>
            </w:r>
          </w:p>
        </w:tc>
      </w:tr>
      <w:tr w:rsidR="00D77F1B" w:rsidRPr="00D77F1B" w14:paraId="4EF1D0F2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1755BAF4" w14:textId="293BD5E5" w:rsidR="00D77F1B" w:rsidRPr="00D77F1B" w:rsidRDefault="007534D0" w:rsidP="00D77F1B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Decent work and Economic Growth</w:t>
            </w:r>
          </w:p>
        </w:tc>
      </w:tr>
    </w:tbl>
    <w:p w14:paraId="191A99B7" w14:textId="77777777" w:rsidR="00A17EDF" w:rsidRDefault="00A17EDF">
      <w:pPr>
        <w:rPr>
          <w:rFonts w:cstheme="minorHAnsi"/>
        </w:rPr>
      </w:pPr>
    </w:p>
    <w:p w14:paraId="120F4C04" w14:textId="77777777" w:rsidR="00A17EDF" w:rsidRPr="00DA5122" w:rsidRDefault="00A17EDF">
      <w:pPr>
        <w:rPr>
          <w:rFonts w:cstheme="minorHAnsi"/>
        </w:rPr>
      </w:pPr>
    </w:p>
    <w:sectPr w:rsidR="00A17EDF" w:rsidRPr="00DA5122" w:rsidSect="00B46A51">
      <w:headerReference w:type="default" r:id="rId11"/>
      <w:footerReference w:type="default" r:id="rId12"/>
      <w:pgSz w:w="11900" w:h="16840"/>
      <w:pgMar w:top="1440" w:right="1440" w:bottom="1008" w:left="1440" w:header="0" w:footer="1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0BBD1D" w14:textId="77777777" w:rsidR="00B60F7C" w:rsidRDefault="00B60F7C" w:rsidP="00C9238F">
      <w:pPr>
        <w:spacing w:after="0" w:line="240" w:lineRule="auto"/>
      </w:pPr>
      <w:r>
        <w:separator/>
      </w:r>
    </w:p>
  </w:endnote>
  <w:endnote w:type="continuationSeparator" w:id="0">
    <w:p w14:paraId="4BBAACBB" w14:textId="77777777" w:rsidR="00B60F7C" w:rsidRDefault="00B60F7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873AB1-1DAA-40B9-BEFB-1EA911917725}"/>
    <w:embedBold r:id="rId2" w:fontKey="{CE5E7DCF-9684-4222-AB0F-4B779BDB240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F1E4734-4122-4286-A001-BB2B04E6A3D8}"/>
    <w:embedBold r:id="rId4" w:fontKey="{6220867B-CBD2-4E2F-A118-3E103E675C81}"/>
    <w:embedItalic r:id="rId5" w:fontKey="{77EBD48B-45C7-481A-BC60-4ACDFDB47C4F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6" w:fontKey="{A0E67F89-F596-4068-A903-4385DB0AD533}"/>
    <w:embedBold r:id="rId7" w:fontKey="{A942305E-3DE5-4A48-8454-A6D6FFA95A6E}"/>
    <w:embedItalic r:id="rId8" w:fontKey="{59645736-E166-430B-850A-D51DAA80CEB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50734A26-892A-45D5-8B68-814E16C213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C289A889-2D3C-4FE2-BF7F-D484E6B6B480}"/>
    <w:embedBold r:id="rId11" w:fontKey="{D6155D30-1A1E-43BB-8A66-4546D9F73D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B822025A-E8EF-4164-9DB3-33D448A0AA80}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  <w:embedRegular r:id="rId13" w:fontKey="{05EFFAD3-3214-4B47-8A9B-3F45798EAD80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3FA568D5-737A-4296-955D-75291F9155EB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5" w:fontKey="{7D192B42-CF0D-41F4-9594-C3557C9636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90" w:type="dxa"/>
      <w:tblLook w:val="04A0" w:firstRow="1" w:lastRow="0" w:firstColumn="1" w:lastColumn="0" w:noHBand="0" w:noVBand="1"/>
    </w:tblPr>
    <w:tblGrid>
      <w:gridCol w:w="4637"/>
      <w:gridCol w:w="5853"/>
    </w:tblGrid>
    <w:tr w:rsidR="001347BA" w:rsidRPr="00003212" w14:paraId="12E50DC3" w14:textId="77777777" w:rsidTr="001347BA">
      <w:trPr>
        <w:trHeight w:val="543"/>
      </w:trPr>
      <w:tc>
        <w:tcPr>
          <w:tcW w:w="4637" w:type="dxa"/>
          <w:vAlign w:val="center"/>
        </w:tcPr>
        <w:p w14:paraId="3B1F18DD" w14:textId="2F66B457" w:rsidR="000D68B9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  </w:t>
          </w:r>
        </w:p>
      </w:tc>
      <w:tc>
        <w:tcPr>
          <w:tcW w:w="5853" w:type="dxa"/>
          <w:vAlign w:val="bottom"/>
        </w:tcPr>
        <w:sdt>
          <w:sdtPr>
            <w:rPr>
              <w:rFonts w:ascii="Segoe UI Light" w:hAnsi="Segoe UI Light" w:cs="Segoe UI Light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rFonts w:ascii="Segoe UI Light" w:hAnsi="Segoe UI Light" w:cs="Segoe UI Light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7F411E48" w:rsidR="00887812" w:rsidRPr="00D77F1B" w:rsidRDefault="00C333A6" w:rsidP="00D77F1B">
                  <w:pPr>
                    <w:pStyle w:val="Footer"/>
                    <w:jc w:val="right"/>
                    <w:rPr>
                      <w:rFonts w:ascii="Segoe UI Light" w:hAnsi="Segoe UI Light" w:cs="Segoe UI Light"/>
                    </w:rPr>
                  </w:pPr>
                  <w:r w:rsidRPr="00D77F1B">
                    <w:rPr>
                      <w:rFonts w:ascii="Segoe UI Light" w:hAnsi="Segoe UI Light" w:cs="Segoe UI Light"/>
                    </w:rPr>
                    <w:t xml:space="preserve"> </w:t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Page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PAGE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1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 of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NUMPAGES 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3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D77F1B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F7B3C22" w:rsidR="00576892" w:rsidRPr="00003212" w:rsidRDefault="001347BA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23488C5C">
              <wp:simplePos x="0" y="0"/>
              <wp:positionH relativeFrom="column">
                <wp:posOffset>48567</wp:posOffset>
              </wp:positionH>
              <wp:positionV relativeFrom="paragraph">
                <wp:posOffset>-372110</wp:posOffset>
              </wp:positionV>
              <wp:extent cx="4381500" cy="42278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4227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281FEDC2" w:rsidR="000D68B9" w:rsidRPr="00A17EDF" w:rsidRDefault="000D68B9" w:rsidP="00C646F6">
                          <w:pPr>
                            <w:spacing w:line="240" w:lineRule="auto"/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</w:pP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 xml:space="preserve">Faculty of </w:t>
                          </w:r>
                          <w:r w:rsidR="00C646F6"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>Business Administration</w:t>
                          </w: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br/>
                          </w:r>
                          <w:r w:rsidRPr="00A17EDF"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.8pt;margin-top:-29.3pt;width:345pt;height:3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" filled="f" stroked="f" strokeweight=".5pt">
              <v:textbox inset="0,0,0,0">
                <w:txbxContent>
                  <w:p w14:paraId="2441B4C1" w14:textId="281FEDC2" w:rsidR="000D68B9" w:rsidRPr="00A17EDF" w:rsidRDefault="000D68B9" w:rsidP="00C646F6">
                    <w:pPr>
                      <w:spacing w:line="240" w:lineRule="auto"/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</w:pP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 xml:space="preserve">Faculty of </w:t>
                    </w:r>
                    <w:r w:rsidR="00C646F6"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>Business Administration</w:t>
                    </w: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br/>
                    </w:r>
                    <w:r w:rsidRPr="00A17EDF"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24"/>
      </w:rPr>
      <w:drawing>
        <wp:anchor distT="0" distB="0" distL="114300" distR="114300" simplePos="0" relativeHeight="251660288" behindDoc="0" locked="0" layoutInCell="1" allowOverlap="1" wp14:anchorId="37CE0E73" wp14:editId="184E17F4">
          <wp:simplePos x="0" y="0"/>
          <wp:positionH relativeFrom="column">
            <wp:posOffset>-739857</wp:posOffset>
          </wp:positionH>
          <wp:positionV relativeFrom="paragraph">
            <wp:posOffset>-499745</wp:posOffset>
          </wp:positionV>
          <wp:extent cx="638175" cy="638175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83695E" w14:textId="77777777" w:rsidR="00B60F7C" w:rsidRDefault="00B60F7C" w:rsidP="00C9238F">
      <w:pPr>
        <w:spacing w:after="0" w:line="240" w:lineRule="auto"/>
      </w:pPr>
      <w:r>
        <w:separator/>
      </w:r>
    </w:p>
  </w:footnote>
  <w:footnote w:type="continuationSeparator" w:id="0">
    <w:p w14:paraId="3E6A73A1" w14:textId="77777777" w:rsidR="00B60F7C" w:rsidRDefault="00B60F7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33" w:type="dxa"/>
      <w:tblInd w:w="-1429" w:type="dxa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766"/>
      <w:gridCol w:w="10467"/>
    </w:tblGrid>
    <w:tr w:rsidR="00576892" w:rsidRPr="00A17EDF" w14:paraId="477E62F0" w14:textId="77777777" w:rsidTr="00D77F1B">
      <w:trPr>
        <w:trHeight w:val="1417"/>
      </w:trPr>
      <w:tc>
        <w:tcPr>
          <w:tcW w:w="1766" w:type="dxa"/>
          <w:shd w:val="clear" w:color="auto" w:fill="AEAAAA" w:themeFill="background2" w:themeFillShade="BF"/>
          <w:vAlign w:val="center"/>
        </w:tcPr>
        <w:p w14:paraId="6567CCB1" w14:textId="77777777" w:rsidR="00576892" w:rsidRPr="00D77F1B" w:rsidRDefault="00576892" w:rsidP="00D77F1B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Segoe UI" w:eastAsia="Calibri" w:hAnsi="Segoe UI" w:cs="Segoe UI"/>
              <w:b/>
              <w:bCs/>
              <w:noProof/>
              <w:color w:val="BF678E" w:themeColor="accent3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67" w:type="dxa"/>
          <w:shd w:val="clear" w:color="auto" w:fill="92D050"/>
          <w:vAlign w:val="center"/>
        </w:tcPr>
        <w:p w14:paraId="5A248E92" w14:textId="383A668F" w:rsidR="00576892" w:rsidRPr="00A17EDF" w:rsidRDefault="00010104" w:rsidP="001347BA">
          <w:pPr>
            <w:tabs>
              <w:tab w:val="center" w:pos="4680"/>
              <w:tab w:val="right" w:pos="9360"/>
            </w:tabs>
            <w:spacing w:after="0"/>
            <w:ind w:left="402"/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t xml:space="preserve">AIUB DSpace </w:t>
          </w:r>
          <w:r w:rsidRPr="00D77F1B">
            <w:rPr>
              <w:rFonts w:ascii="Segoe UI Light" w:eastAsia="Calibri" w:hAnsi="Segoe UI Light" w:cs="Segoe UI Light"/>
              <w:noProof/>
              <w:color w:val="FFFFFF" w:themeColor="background1"/>
              <w:sz w:val="40"/>
              <w:szCs w:val="20"/>
            </w:rPr>
            <w:t>Publication Details</w:t>
          </w:r>
        </w:p>
      </w:tc>
    </w:tr>
  </w:tbl>
  <w:p w14:paraId="56A65A3E" w14:textId="77777777" w:rsidR="00C9238F" w:rsidRPr="00A17EDF" w:rsidRDefault="00C9238F" w:rsidP="00576892">
    <w:pPr>
      <w:pStyle w:val="NoSpacing"/>
      <w:rPr>
        <w:rFonts w:ascii="Segoe UI" w:hAnsi="Segoe UI" w:cs="Segoe UI"/>
        <w:b/>
        <w:bCs/>
        <w:sz w:val="1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16558275">
    <w:abstractNumId w:val="12"/>
  </w:num>
  <w:num w:numId="2" w16cid:durableId="2076971476">
    <w:abstractNumId w:val="8"/>
  </w:num>
  <w:num w:numId="3" w16cid:durableId="494807571">
    <w:abstractNumId w:val="16"/>
  </w:num>
  <w:num w:numId="4" w16cid:durableId="1342049650">
    <w:abstractNumId w:val="13"/>
  </w:num>
  <w:num w:numId="5" w16cid:durableId="280696522">
    <w:abstractNumId w:val="14"/>
  </w:num>
  <w:num w:numId="6" w16cid:durableId="137960720">
    <w:abstractNumId w:val="20"/>
  </w:num>
  <w:num w:numId="7" w16cid:durableId="493760863">
    <w:abstractNumId w:val="7"/>
  </w:num>
  <w:num w:numId="8" w16cid:durableId="450827809">
    <w:abstractNumId w:val="11"/>
  </w:num>
  <w:num w:numId="9" w16cid:durableId="1549106127">
    <w:abstractNumId w:val="18"/>
  </w:num>
  <w:num w:numId="10" w16cid:durableId="1455323977">
    <w:abstractNumId w:val="2"/>
  </w:num>
  <w:num w:numId="11" w16cid:durableId="1587570069">
    <w:abstractNumId w:val="6"/>
  </w:num>
  <w:num w:numId="12" w16cid:durableId="689834907">
    <w:abstractNumId w:val="1"/>
  </w:num>
  <w:num w:numId="13" w16cid:durableId="593247834">
    <w:abstractNumId w:val="3"/>
  </w:num>
  <w:num w:numId="14" w16cid:durableId="1196043342">
    <w:abstractNumId w:val="10"/>
  </w:num>
  <w:num w:numId="15" w16cid:durableId="139395610">
    <w:abstractNumId w:val="9"/>
  </w:num>
  <w:num w:numId="16" w16cid:durableId="1536237971">
    <w:abstractNumId w:val="17"/>
  </w:num>
  <w:num w:numId="17" w16cid:durableId="242616622">
    <w:abstractNumId w:val="4"/>
  </w:num>
  <w:num w:numId="18" w16cid:durableId="2095587259">
    <w:abstractNumId w:val="22"/>
  </w:num>
  <w:num w:numId="19" w16cid:durableId="1080518110">
    <w:abstractNumId w:val="19"/>
  </w:num>
  <w:num w:numId="20" w16cid:durableId="1894537863">
    <w:abstractNumId w:val="15"/>
  </w:num>
  <w:num w:numId="21" w16cid:durableId="1018586283">
    <w:abstractNumId w:val="21"/>
  </w:num>
  <w:num w:numId="22" w16cid:durableId="944195572">
    <w:abstractNumId w:val="5"/>
  </w:num>
  <w:num w:numId="23" w16cid:durableId="1812088640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04116"/>
    <w:rsid w:val="00010104"/>
    <w:rsid w:val="00032EE6"/>
    <w:rsid w:val="000349D5"/>
    <w:rsid w:val="00040492"/>
    <w:rsid w:val="00052382"/>
    <w:rsid w:val="0006568A"/>
    <w:rsid w:val="00065A07"/>
    <w:rsid w:val="00071AB4"/>
    <w:rsid w:val="00076F0F"/>
    <w:rsid w:val="00084253"/>
    <w:rsid w:val="00096CF2"/>
    <w:rsid w:val="00097D31"/>
    <w:rsid w:val="000A2753"/>
    <w:rsid w:val="000D0A38"/>
    <w:rsid w:val="000D0C63"/>
    <w:rsid w:val="000D1F49"/>
    <w:rsid w:val="000D68B9"/>
    <w:rsid w:val="000E7D47"/>
    <w:rsid w:val="000F7B91"/>
    <w:rsid w:val="001059C1"/>
    <w:rsid w:val="001060D8"/>
    <w:rsid w:val="00110BAB"/>
    <w:rsid w:val="00111C0D"/>
    <w:rsid w:val="001347BA"/>
    <w:rsid w:val="00135F0A"/>
    <w:rsid w:val="00164433"/>
    <w:rsid w:val="001703EC"/>
    <w:rsid w:val="001727CA"/>
    <w:rsid w:val="001A6E04"/>
    <w:rsid w:val="001B3DC2"/>
    <w:rsid w:val="001B7EC7"/>
    <w:rsid w:val="001E02FA"/>
    <w:rsid w:val="001E63E9"/>
    <w:rsid w:val="001F0B3E"/>
    <w:rsid w:val="001F2C2B"/>
    <w:rsid w:val="001F428C"/>
    <w:rsid w:val="001F5CF8"/>
    <w:rsid w:val="0020268D"/>
    <w:rsid w:val="0021153F"/>
    <w:rsid w:val="00211A7E"/>
    <w:rsid w:val="00221805"/>
    <w:rsid w:val="00222F3E"/>
    <w:rsid w:val="00230B24"/>
    <w:rsid w:val="00257BA9"/>
    <w:rsid w:val="00283C2D"/>
    <w:rsid w:val="0028548A"/>
    <w:rsid w:val="002A5F2B"/>
    <w:rsid w:val="002B48DF"/>
    <w:rsid w:val="002C56E6"/>
    <w:rsid w:val="002D0D6B"/>
    <w:rsid w:val="002D3238"/>
    <w:rsid w:val="002D560C"/>
    <w:rsid w:val="002D7311"/>
    <w:rsid w:val="002D7555"/>
    <w:rsid w:val="002E2E4E"/>
    <w:rsid w:val="002F2AC1"/>
    <w:rsid w:val="002F3052"/>
    <w:rsid w:val="00321448"/>
    <w:rsid w:val="00322C8A"/>
    <w:rsid w:val="00326E3F"/>
    <w:rsid w:val="00354AA3"/>
    <w:rsid w:val="00361E11"/>
    <w:rsid w:val="00370C3C"/>
    <w:rsid w:val="003761D4"/>
    <w:rsid w:val="003961B7"/>
    <w:rsid w:val="003A7BCF"/>
    <w:rsid w:val="003B1D41"/>
    <w:rsid w:val="003C4043"/>
    <w:rsid w:val="003F0847"/>
    <w:rsid w:val="0040071F"/>
    <w:rsid w:val="0040090B"/>
    <w:rsid w:val="00402883"/>
    <w:rsid w:val="00406E20"/>
    <w:rsid w:val="00421017"/>
    <w:rsid w:val="00422BF0"/>
    <w:rsid w:val="00451206"/>
    <w:rsid w:val="0046302A"/>
    <w:rsid w:val="004759ED"/>
    <w:rsid w:val="00487CA1"/>
    <w:rsid w:val="00487D2D"/>
    <w:rsid w:val="00490339"/>
    <w:rsid w:val="004C0FDC"/>
    <w:rsid w:val="004C1163"/>
    <w:rsid w:val="004C7D84"/>
    <w:rsid w:val="004D5D62"/>
    <w:rsid w:val="004E5717"/>
    <w:rsid w:val="004F0D1F"/>
    <w:rsid w:val="004F76A2"/>
    <w:rsid w:val="005038C4"/>
    <w:rsid w:val="005112D0"/>
    <w:rsid w:val="005121FA"/>
    <w:rsid w:val="00522B79"/>
    <w:rsid w:val="00526CE2"/>
    <w:rsid w:val="00532C33"/>
    <w:rsid w:val="00551BEC"/>
    <w:rsid w:val="005535C8"/>
    <w:rsid w:val="0055411F"/>
    <w:rsid w:val="005559F1"/>
    <w:rsid w:val="00565250"/>
    <w:rsid w:val="00567E00"/>
    <w:rsid w:val="005753A6"/>
    <w:rsid w:val="00576892"/>
    <w:rsid w:val="00577682"/>
    <w:rsid w:val="00577E06"/>
    <w:rsid w:val="00581F5D"/>
    <w:rsid w:val="00587E1B"/>
    <w:rsid w:val="005A2A9F"/>
    <w:rsid w:val="005A3BF7"/>
    <w:rsid w:val="005A76FD"/>
    <w:rsid w:val="005B0B9D"/>
    <w:rsid w:val="005B4BDC"/>
    <w:rsid w:val="005B50A8"/>
    <w:rsid w:val="005B71DD"/>
    <w:rsid w:val="005C0894"/>
    <w:rsid w:val="005C38C1"/>
    <w:rsid w:val="005C3B76"/>
    <w:rsid w:val="005C5B3E"/>
    <w:rsid w:val="005C7AE7"/>
    <w:rsid w:val="005D1418"/>
    <w:rsid w:val="005E19AD"/>
    <w:rsid w:val="005F2035"/>
    <w:rsid w:val="005F7322"/>
    <w:rsid w:val="005F7990"/>
    <w:rsid w:val="00635C97"/>
    <w:rsid w:val="0063739C"/>
    <w:rsid w:val="00643604"/>
    <w:rsid w:val="00644825"/>
    <w:rsid w:val="0065484B"/>
    <w:rsid w:val="00655498"/>
    <w:rsid w:val="006704DF"/>
    <w:rsid w:val="00673DDE"/>
    <w:rsid w:val="00692211"/>
    <w:rsid w:val="006B48E3"/>
    <w:rsid w:val="006D189D"/>
    <w:rsid w:val="006D5827"/>
    <w:rsid w:val="006D64BA"/>
    <w:rsid w:val="006F2505"/>
    <w:rsid w:val="006F6A59"/>
    <w:rsid w:val="007011DE"/>
    <w:rsid w:val="00704410"/>
    <w:rsid w:val="00706A22"/>
    <w:rsid w:val="00712EDA"/>
    <w:rsid w:val="007174FB"/>
    <w:rsid w:val="0071791D"/>
    <w:rsid w:val="0073710F"/>
    <w:rsid w:val="007455CF"/>
    <w:rsid w:val="00750772"/>
    <w:rsid w:val="007534D0"/>
    <w:rsid w:val="00754C3E"/>
    <w:rsid w:val="00764089"/>
    <w:rsid w:val="00765B43"/>
    <w:rsid w:val="00770F25"/>
    <w:rsid w:val="00774C74"/>
    <w:rsid w:val="00790A08"/>
    <w:rsid w:val="007A35A8"/>
    <w:rsid w:val="007B0A85"/>
    <w:rsid w:val="007C674D"/>
    <w:rsid w:val="007C6A52"/>
    <w:rsid w:val="007E4956"/>
    <w:rsid w:val="00810E1F"/>
    <w:rsid w:val="0082043E"/>
    <w:rsid w:val="00822E69"/>
    <w:rsid w:val="00840663"/>
    <w:rsid w:val="00852B20"/>
    <w:rsid w:val="00856C58"/>
    <w:rsid w:val="00874CC5"/>
    <w:rsid w:val="0088595A"/>
    <w:rsid w:val="00887812"/>
    <w:rsid w:val="008913B8"/>
    <w:rsid w:val="00892886"/>
    <w:rsid w:val="008928DC"/>
    <w:rsid w:val="00897670"/>
    <w:rsid w:val="008B0E32"/>
    <w:rsid w:val="008B3584"/>
    <w:rsid w:val="008C24ED"/>
    <w:rsid w:val="008C627E"/>
    <w:rsid w:val="008E203A"/>
    <w:rsid w:val="008E2DBA"/>
    <w:rsid w:val="008F3D44"/>
    <w:rsid w:val="008F522D"/>
    <w:rsid w:val="00900C18"/>
    <w:rsid w:val="00905428"/>
    <w:rsid w:val="00911193"/>
    <w:rsid w:val="00912136"/>
    <w:rsid w:val="0091229C"/>
    <w:rsid w:val="00920221"/>
    <w:rsid w:val="009238A9"/>
    <w:rsid w:val="00940E73"/>
    <w:rsid w:val="00941F2C"/>
    <w:rsid w:val="00945605"/>
    <w:rsid w:val="00952407"/>
    <w:rsid w:val="00954618"/>
    <w:rsid w:val="00964514"/>
    <w:rsid w:val="00967057"/>
    <w:rsid w:val="0097437B"/>
    <w:rsid w:val="0097508B"/>
    <w:rsid w:val="0098597D"/>
    <w:rsid w:val="009967C6"/>
    <w:rsid w:val="00997653"/>
    <w:rsid w:val="009A4987"/>
    <w:rsid w:val="009A5FFF"/>
    <w:rsid w:val="009B21A9"/>
    <w:rsid w:val="009C11B8"/>
    <w:rsid w:val="009C7788"/>
    <w:rsid w:val="009D12F3"/>
    <w:rsid w:val="009D2239"/>
    <w:rsid w:val="009E0C74"/>
    <w:rsid w:val="009F5666"/>
    <w:rsid w:val="009F619A"/>
    <w:rsid w:val="009F6DDE"/>
    <w:rsid w:val="009F77CA"/>
    <w:rsid w:val="00A05D58"/>
    <w:rsid w:val="00A1613A"/>
    <w:rsid w:val="00A17EDF"/>
    <w:rsid w:val="00A213E4"/>
    <w:rsid w:val="00A241AB"/>
    <w:rsid w:val="00A32066"/>
    <w:rsid w:val="00A33E91"/>
    <w:rsid w:val="00A370A8"/>
    <w:rsid w:val="00A51CA6"/>
    <w:rsid w:val="00A569CB"/>
    <w:rsid w:val="00A62A40"/>
    <w:rsid w:val="00A64623"/>
    <w:rsid w:val="00A727A1"/>
    <w:rsid w:val="00A82A33"/>
    <w:rsid w:val="00A957DF"/>
    <w:rsid w:val="00AB6FCA"/>
    <w:rsid w:val="00AC27CE"/>
    <w:rsid w:val="00AC391C"/>
    <w:rsid w:val="00AD1CA6"/>
    <w:rsid w:val="00AD5EAF"/>
    <w:rsid w:val="00AE37B2"/>
    <w:rsid w:val="00AF11A0"/>
    <w:rsid w:val="00AF30B2"/>
    <w:rsid w:val="00AF6BFE"/>
    <w:rsid w:val="00AF784C"/>
    <w:rsid w:val="00B04977"/>
    <w:rsid w:val="00B30B1B"/>
    <w:rsid w:val="00B41061"/>
    <w:rsid w:val="00B46A51"/>
    <w:rsid w:val="00B5382F"/>
    <w:rsid w:val="00B60F7C"/>
    <w:rsid w:val="00B71A74"/>
    <w:rsid w:val="00B72AF1"/>
    <w:rsid w:val="00B81B71"/>
    <w:rsid w:val="00BA148C"/>
    <w:rsid w:val="00BA5663"/>
    <w:rsid w:val="00BB46DF"/>
    <w:rsid w:val="00BC2736"/>
    <w:rsid w:val="00BC6682"/>
    <w:rsid w:val="00BD1596"/>
    <w:rsid w:val="00BD4753"/>
    <w:rsid w:val="00BD5CB1"/>
    <w:rsid w:val="00BE358B"/>
    <w:rsid w:val="00BE515D"/>
    <w:rsid w:val="00BE62EE"/>
    <w:rsid w:val="00C003BA"/>
    <w:rsid w:val="00C039BD"/>
    <w:rsid w:val="00C23A63"/>
    <w:rsid w:val="00C244CC"/>
    <w:rsid w:val="00C26236"/>
    <w:rsid w:val="00C270E9"/>
    <w:rsid w:val="00C333A6"/>
    <w:rsid w:val="00C36232"/>
    <w:rsid w:val="00C400F0"/>
    <w:rsid w:val="00C46878"/>
    <w:rsid w:val="00C5495F"/>
    <w:rsid w:val="00C646F6"/>
    <w:rsid w:val="00C64C2D"/>
    <w:rsid w:val="00C9238F"/>
    <w:rsid w:val="00C94690"/>
    <w:rsid w:val="00C96307"/>
    <w:rsid w:val="00CA61BD"/>
    <w:rsid w:val="00CA61E4"/>
    <w:rsid w:val="00CB21FA"/>
    <w:rsid w:val="00CB4A51"/>
    <w:rsid w:val="00CD4532"/>
    <w:rsid w:val="00CD47B0"/>
    <w:rsid w:val="00CD640A"/>
    <w:rsid w:val="00CE6104"/>
    <w:rsid w:val="00CE7918"/>
    <w:rsid w:val="00CE7E7E"/>
    <w:rsid w:val="00D025A9"/>
    <w:rsid w:val="00D03AC6"/>
    <w:rsid w:val="00D16163"/>
    <w:rsid w:val="00D245BA"/>
    <w:rsid w:val="00D31E76"/>
    <w:rsid w:val="00D40AB0"/>
    <w:rsid w:val="00D54582"/>
    <w:rsid w:val="00D63E1C"/>
    <w:rsid w:val="00D73BA0"/>
    <w:rsid w:val="00D77F1B"/>
    <w:rsid w:val="00D819DD"/>
    <w:rsid w:val="00D826DF"/>
    <w:rsid w:val="00D876C4"/>
    <w:rsid w:val="00D95774"/>
    <w:rsid w:val="00DA5122"/>
    <w:rsid w:val="00DA6E67"/>
    <w:rsid w:val="00DB3FAD"/>
    <w:rsid w:val="00DB71A5"/>
    <w:rsid w:val="00DC6A1F"/>
    <w:rsid w:val="00DD1ECF"/>
    <w:rsid w:val="00DE4DDC"/>
    <w:rsid w:val="00E03E98"/>
    <w:rsid w:val="00E14964"/>
    <w:rsid w:val="00E20D86"/>
    <w:rsid w:val="00E21E72"/>
    <w:rsid w:val="00E35E58"/>
    <w:rsid w:val="00E52523"/>
    <w:rsid w:val="00E61C09"/>
    <w:rsid w:val="00E6281B"/>
    <w:rsid w:val="00E62FC6"/>
    <w:rsid w:val="00E63E49"/>
    <w:rsid w:val="00E708F9"/>
    <w:rsid w:val="00E7128A"/>
    <w:rsid w:val="00E86541"/>
    <w:rsid w:val="00E92D0E"/>
    <w:rsid w:val="00E94341"/>
    <w:rsid w:val="00EA2F53"/>
    <w:rsid w:val="00EB18A6"/>
    <w:rsid w:val="00EB3B58"/>
    <w:rsid w:val="00EC7359"/>
    <w:rsid w:val="00ED1E3A"/>
    <w:rsid w:val="00ED73C1"/>
    <w:rsid w:val="00EE1B41"/>
    <w:rsid w:val="00EE3054"/>
    <w:rsid w:val="00EE601D"/>
    <w:rsid w:val="00F00464"/>
    <w:rsid w:val="00F00606"/>
    <w:rsid w:val="00F01256"/>
    <w:rsid w:val="00F04757"/>
    <w:rsid w:val="00F11B8F"/>
    <w:rsid w:val="00F12E03"/>
    <w:rsid w:val="00F17573"/>
    <w:rsid w:val="00F337A3"/>
    <w:rsid w:val="00F43162"/>
    <w:rsid w:val="00F50DEB"/>
    <w:rsid w:val="00F6558E"/>
    <w:rsid w:val="00F70BB6"/>
    <w:rsid w:val="00FC1973"/>
    <w:rsid w:val="00FC6406"/>
    <w:rsid w:val="00FC7475"/>
    <w:rsid w:val="00FD2E3D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E94341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3214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B7AD21D-7328-4ED5-A71E-978648F2428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2023-09-11T03:56:00Z</dcterms:created>
  <dcterms:modified xsi:type="dcterms:W3CDTF">2024-07-08T11:21:00Z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