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B42B1B6" w:rsidR="00C9238F" w:rsidRPr="000A17D9" w:rsidRDefault="00B07EDA" w:rsidP="00776FC4">
            <w:pPr>
              <w:spacing w:before="240"/>
              <w:rPr>
                <w:rFonts w:ascii="Times New Roman" w:hAnsi="Times New Roman" w:cs="Times New Roman"/>
                <w:b/>
                <w:bCs/>
              </w:rPr>
            </w:pPr>
            <w:hyperlink r:id="rId11" w:history="1">
              <w:r w:rsidRPr="00B07EDA">
                <w:rPr>
                  <w:rStyle w:val="Hyperlink"/>
                  <w:rFonts w:ascii="Times New Roman" w:hAnsi="Times New Roman" w:cs="Times New Roman"/>
                  <w:b/>
                  <w:bCs/>
                </w:rPr>
                <w:t>Similarity requirements for mixed convective boundary layer flow over vertical curvilinear porous surfaces with heat generation/absorption</w:t>
              </w:r>
            </w:hyperlink>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6BBB9F7" w:rsidR="00C9238F" w:rsidRPr="005E19AD" w:rsidRDefault="000A17D9" w:rsidP="00145680">
            <w:pPr>
              <w:spacing w:before="240"/>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C4BC192" w:rsidR="00C9238F" w:rsidRPr="005E19AD" w:rsidRDefault="000A17D9"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CCE5768" w:rsidR="00C9238F" w:rsidRPr="005E19AD" w:rsidRDefault="000A17D9" w:rsidP="00B07EDA">
            <w:pPr>
              <w:spacing w:before="240"/>
              <w:rPr>
                <w:rFonts w:ascii="Times New Roman" w:hAnsi="Times New Roman" w:cs="Times New Roman"/>
              </w:rPr>
            </w:pPr>
            <w:r w:rsidRPr="000A17D9">
              <w:rPr>
                <w:rFonts w:ascii="Times New Roman" w:hAnsi="Times New Roman" w:cs="Times New Roman"/>
              </w:rPr>
              <w:t> </w:t>
            </w:r>
            <w:r w:rsidR="00B07EDA" w:rsidRPr="00B07EDA">
              <w:rPr>
                <w:rFonts w:ascii="Times New Roman" w:hAnsi="Times New Roman" w:cs="Times New Roman"/>
              </w:rPr>
              <w:t>International Journal of Aerospace Engineering</w:t>
            </w:r>
            <w:r w:rsidRPr="000A17D9">
              <w:rPr>
                <w:rFonts w:ascii="Times New Roman" w:hAnsi="Times New Roman" w:cs="Times New Roman"/>
              </w:rPr>
              <w:t> </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40F7C00" w:rsidR="00010104" w:rsidRPr="005E19AD" w:rsidRDefault="000A17D9" w:rsidP="00145680">
            <w:pPr>
              <w:spacing w:before="240"/>
              <w:rPr>
                <w:rFonts w:ascii="Times New Roman" w:hAnsi="Times New Roman" w:cs="Times New Roman"/>
              </w:rPr>
            </w:pPr>
            <w:r>
              <w:rPr>
                <w:rFonts w:ascii="Times New Roman" w:hAnsi="Times New Roman" w:cs="Times New Roman"/>
              </w:rPr>
              <w:t>Full</w:t>
            </w:r>
            <w:r w:rsidR="00724499">
              <w:rPr>
                <w:rFonts w:ascii="Times New Roman" w:hAnsi="Times New Roman" w:cs="Times New Roman"/>
              </w:rPr>
              <w:t xml:space="preserve"> Article</w:t>
            </w:r>
            <w:r>
              <w:rPr>
                <w:rFonts w:ascii="Times New Roman" w:hAnsi="Times New Roman" w:cs="Times New Roman"/>
              </w:rPr>
              <w:t xml:space="preserv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572A0BF" w:rsidR="00576892" w:rsidRPr="005E19AD" w:rsidRDefault="00B07EDA" w:rsidP="00576892">
            <w:pPr>
              <w:spacing w:before="240"/>
              <w:rPr>
                <w:rFonts w:ascii="Times New Roman" w:hAnsi="Times New Roman" w:cs="Times New Roman"/>
              </w:rPr>
            </w:pPr>
            <w:r>
              <w:rPr>
                <w:rFonts w:ascii="Times New Roman" w:hAnsi="Times New Roman" w:cs="Times New Roman"/>
              </w:rPr>
              <w:t>20</w:t>
            </w:r>
            <w:r w:rsidR="008C06B6">
              <w:rPr>
                <w:rFonts w:ascii="Times New Roman" w:hAnsi="Times New Roman" w:cs="Times New Roman"/>
              </w:rPr>
              <w:t>20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78819EE6" w:rsidR="00576892" w:rsidRPr="005E19AD" w:rsidRDefault="00B07EDA"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2AB75A0" w:rsidR="00852B20" w:rsidRPr="005E19AD" w:rsidRDefault="00CD3BE7" w:rsidP="00336BF6">
            <w:pPr>
              <w:spacing w:before="240"/>
              <w:rPr>
                <w:rFonts w:ascii="Times New Roman" w:hAnsi="Times New Roman" w:cs="Times New Roman"/>
              </w:rPr>
            </w:pPr>
            <w:r w:rsidRPr="00CD3BE7">
              <w:rPr>
                <w:rFonts w:ascii="Times New Roman" w:hAnsi="Times New Roman" w:cs="Times New Roman"/>
              </w:rPr>
              <w:t>John Wiley &amp; Sons Ltd</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ECA92D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D3BE7" w:rsidRPr="00CD3BE7">
              <w:rPr>
                <w:rFonts w:ascii="Times New Roman" w:hAnsi="Times New Roman" w:cs="Times New Roman"/>
              </w:rPr>
              <w:t xml:space="preserve">March </w:t>
            </w:r>
            <w:r w:rsidR="00CD3BE7">
              <w:rPr>
                <w:rFonts w:ascii="Times New Roman" w:hAnsi="Times New Roman" w:cs="Times New Roman"/>
              </w:rPr>
              <w:t xml:space="preserve">03, </w:t>
            </w:r>
            <w:r w:rsidR="00CD3BE7" w:rsidRPr="00CD3BE7">
              <w:rPr>
                <w:rFonts w:ascii="Times New Roman" w:hAnsi="Times New Roman" w:cs="Times New Roman"/>
              </w:rPr>
              <w:t>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8F21C20" w:rsidR="00852B20" w:rsidRPr="005E19AD" w:rsidRDefault="00CD3BE7" w:rsidP="00576892">
            <w:pPr>
              <w:spacing w:before="240"/>
              <w:rPr>
                <w:rFonts w:ascii="Times New Roman" w:hAnsi="Times New Roman" w:cs="Times New Roman"/>
              </w:rPr>
            </w:pPr>
            <w:r w:rsidRPr="00CD3BE7">
              <w:rPr>
                <w:rFonts w:ascii="Times New Roman" w:hAnsi="Times New Roman" w:cs="Times New Roman"/>
              </w:rPr>
              <w:t>Online ISSN:1687-5974</w:t>
            </w:r>
            <w:r>
              <w:rPr>
                <w:rFonts w:ascii="Times New Roman" w:hAnsi="Times New Roman" w:cs="Times New Roman"/>
              </w:rPr>
              <w:t xml:space="preserve">, </w:t>
            </w:r>
            <w:r w:rsidRPr="00CD3BE7">
              <w:rPr>
                <w:rFonts w:ascii="Times New Roman" w:hAnsi="Times New Roman" w:cs="Times New Roman"/>
              </w:rPr>
              <w:t>Print ISSN:1687-5966</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25E1D34" w14:textId="77777777" w:rsidR="00CD3BE7" w:rsidRPr="00CD3BE7" w:rsidRDefault="00CD3BE7" w:rsidP="00CD3BE7">
            <w:pPr>
              <w:spacing w:before="240"/>
              <w:rPr>
                <w:rFonts w:ascii="Times New Roman" w:hAnsi="Times New Roman" w:cs="Times New Roman"/>
                <w:b/>
                <w:bCs/>
              </w:rPr>
            </w:pPr>
            <w:r w:rsidRPr="00CD3BE7">
              <w:rPr>
                <w:rFonts w:ascii="Times New Roman" w:hAnsi="Times New Roman" w:cs="Times New Roman"/>
                <w:b/>
                <w:bCs/>
              </w:rPr>
              <w:t> </w:t>
            </w:r>
          </w:p>
          <w:p w14:paraId="6A80901E" w14:textId="34383112" w:rsidR="00852B20" w:rsidRPr="00B61CDA" w:rsidRDefault="00CD3BE7" w:rsidP="00B61CDA">
            <w:pPr>
              <w:spacing w:before="240"/>
              <w:rPr>
                <w:rFonts w:ascii="Times New Roman" w:hAnsi="Times New Roman" w:cs="Times New Roman"/>
                <w:b/>
                <w:bCs/>
              </w:rPr>
            </w:pPr>
            <w:hyperlink r:id="rId12" w:history="1">
              <w:r w:rsidRPr="00CD3BE7">
                <w:rPr>
                  <w:rStyle w:val="Hyperlink"/>
                  <w:rFonts w:ascii="Times New Roman" w:hAnsi="Times New Roman" w:cs="Times New Roman"/>
                  <w:b/>
                  <w:bCs/>
                </w:rPr>
                <w:t>https://doi.org/10.1155/2020/7486971</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F39472B" w:rsidR="00CB3B78" w:rsidRPr="006905C2" w:rsidRDefault="00DF5DBC" w:rsidP="00576892">
            <w:pPr>
              <w:spacing w:before="240"/>
              <w:rPr>
                <w:rFonts w:ascii="Times New Roman" w:hAnsi="Times New Roman" w:cs="Times New Roman"/>
                <w:u w:val="single"/>
              </w:rPr>
            </w:pPr>
            <w:hyperlink r:id="rId13" w:history="1">
              <w:r w:rsidRPr="00DF5DBC">
                <w:rPr>
                  <w:rStyle w:val="Hyperlink"/>
                  <w:rFonts w:ascii="Times New Roman" w:hAnsi="Times New Roman" w:cs="Times New Roman"/>
                </w:rPr>
                <w:t>Similarity Requirements for Mixed Convective Boundary Layer Flow over Vertical Curvilinear Porous Surfaces with Heat Generation/Absorption - Maleque - 2020 - International Journal of Aerospace Engineering - Wiley Online Library</w:t>
              </w:r>
            </w:hyperlink>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58ECB014"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0935F4A" w:rsidR="00931093" w:rsidRPr="005E19AD" w:rsidRDefault="00CD3BE7" w:rsidP="00931093">
            <w:pPr>
              <w:rPr>
                <w:rFonts w:ascii="Times New Roman" w:hAnsi="Times New Roman" w:cs="Times New Roman"/>
              </w:rPr>
            </w:pPr>
            <w:r w:rsidRPr="00CD3BE7">
              <w:rPr>
                <w:rFonts w:ascii="Times New Roman" w:hAnsi="Times New Roman" w:cs="Times New Roman"/>
              </w:rPr>
              <w:t>Similarity requirements for three dimensional combined forced and free convective laminar boundary layer flows over the porous inclined vertical curvilinear surfaces with buoyancy effects and heat absorption/generation effects are investigated theoretically. The potential flow in the mainstream and Gabriel lame coefficients outside of the boundary layer are the function of (</w:t>
            </w:r>
            <w:r w:rsidRPr="00CD3BE7">
              <w:rPr>
                <w:rFonts w:ascii="Times New Roman" w:hAnsi="Times New Roman" w:cs="Times New Roman"/>
                <w:i/>
                <w:iCs/>
              </w:rPr>
              <w:t>ξ</w:t>
            </w:r>
            <w:r w:rsidRPr="00CD3BE7">
              <w:rPr>
                <w:rFonts w:ascii="Times New Roman" w:hAnsi="Times New Roman" w:cs="Times New Roman"/>
              </w:rPr>
              <w:t>, </w:t>
            </w:r>
            <w:r w:rsidRPr="00CD3BE7">
              <w:rPr>
                <w:rFonts w:ascii="Times New Roman" w:hAnsi="Times New Roman" w:cs="Times New Roman"/>
                <w:i/>
                <w:iCs/>
              </w:rPr>
              <w:t>η</w:t>
            </w:r>
            <w:r w:rsidRPr="00CD3BE7">
              <w:rPr>
                <w:rFonts w:ascii="Times New Roman" w:hAnsi="Times New Roman" w:cs="Times New Roman"/>
              </w:rPr>
              <w:t>). Hence, the external velocity components (</w:t>
            </w:r>
            <w:r w:rsidRPr="00CD3BE7">
              <w:rPr>
                <w:rFonts w:ascii="Times New Roman" w:hAnsi="Times New Roman" w:cs="Times New Roman"/>
                <w:i/>
                <w:iCs/>
              </w:rPr>
              <w:t>U</w:t>
            </w:r>
            <w:r w:rsidRPr="00CD3BE7">
              <w:rPr>
                <w:rFonts w:ascii="Times New Roman" w:hAnsi="Times New Roman" w:cs="Times New Roman"/>
                <w:i/>
                <w:iCs/>
                <w:vertAlign w:val="subscript"/>
              </w:rPr>
              <w:t>e</w:t>
            </w:r>
            <w:r w:rsidRPr="00CD3BE7">
              <w:rPr>
                <w:rFonts w:ascii="Times New Roman" w:hAnsi="Times New Roman" w:cs="Times New Roman"/>
              </w:rPr>
              <w:t>, </w:t>
            </w:r>
            <w:r w:rsidRPr="00CD3BE7">
              <w:rPr>
                <w:rFonts w:ascii="Times New Roman" w:hAnsi="Times New Roman" w:cs="Times New Roman"/>
                <w:i/>
                <w:iCs/>
              </w:rPr>
              <w:t>V</w:t>
            </w:r>
            <w:r w:rsidRPr="00CD3BE7">
              <w:rPr>
                <w:rFonts w:ascii="Times New Roman" w:hAnsi="Times New Roman" w:cs="Times New Roman"/>
                <w:i/>
                <w:iCs/>
                <w:vertAlign w:val="subscript"/>
              </w:rPr>
              <w:t>e</w:t>
            </w:r>
            <w:r w:rsidRPr="00CD3BE7">
              <w:rPr>
                <w:rFonts w:ascii="Times New Roman" w:hAnsi="Times New Roman" w:cs="Times New Roman"/>
              </w:rPr>
              <w:t>) and Gabriel lame coefficients (</w:t>
            </w:r>
            <w:r w:rsidRPr="00CD3BE7">
              <w:rPr>
                <w:rFonts w:ascii="Times New Roman" w:hAnsi="Times New Roman" w:cs="Times New Roman"/>
                <w:i/>
                <w:iCs/>
              </w:rPr>
              <w:t>h</w:t>
            </w:r>
            <w:r w:rsidRPr="00CD3BE7">
              <w:rPr>
                <w:rFonts w:ascii="Times New Roman" w:hAnsi="Times New Roman" w:cs="Times New Roman"/>
                <w:vertAlign w:val="subscript"/>
              </w:rPr>
              <w:t>1</w:t>
            </w:r>
            <w:r w:rsidRPr="00CD3BE7">
              <w:rPr>
                <w:rFonts w:ascii="Times New Roman" w:hAnsi="Times New Roman" w:cs="Times New Roman"/>
              </w:rPr>
              <w:t>, </w:t>
            </w:r>
            <w:r w:rsidRPr="00CD3BE7">
              <w:rPr>
                <w:rFonts w:ascii="Times New Roman" w:hAnsi="Times New Roman" w:cs="Times New Roman"/>
                <w:i/>
                <w:iCs/>
              </w:rPr>
              <w:t>h</w:t>
            </w:r>
            <w:r w:rsidRPr="00CD3BE7">
              <w:rPr>
                <w:rFonts w:ascii="Times New Roman" w:hAnsi="Times New Roman" w:cs="Times New Roman"/>
                <w:vertAlign w:val="subscript"/>
              </w:rPr>
              <w:t>2</w:t>
            </w:r>
            <w:r w:rsidRPr="00CD3BE7">
              <w:rPr>
                <w:rFonts w:ascii="Times New Roman" w:hAnsi="Times New Roman" w:cs="Times New Roman"/>
              </w:rPr>
              <w:t>, </w:t>
            </w:r>
            <w:r w:rsidRPr="00CD3BE7">
              <w:rPr>
                <w:rFonts w:ascii="Times New Roman" w:hAnsi="Times New Roman" w:cs="Times New Roman"/>
                <w:i/>
                <w:iCs/>
              </w:rPr>
              <w:t>h</w:t>
            </w:r>
            <w:r w:rsidRPr="00CD3BE7">
              <w:rPr>
                <w:rFonts w:ascii="Times New Roman" w:hAnsi="Times New Roman" w:cs="Times New Roman"/>
                <w:vertAlign w:val="subscript"/>
              </w:rPr>
              <w:t>3</w:t>
            </w:r>
            <w:r w:rsidRPr="00CD3BE7">
              <w:rPr>
                <w:rFonts w:ascii="Times New Roman" w:hAnsi="Times New Roman" w:cs="Times New Roman"/>
              </w:rPr>
              <w:t>) are independent of </w:t>
            </w:r>
            <w:r w:rsidRPr="00CD3BE7">
              <w:rPr>
                <w:rFonts w:ascii="Times New Roman" w:hAnsi="Times New Roman" w:cs="Times New Roman"/>
                <w:i/>
                <w:iCs/>
              </w:rPr>
              <w:t>ζ</w:t>
            </w:r>
            <w:r w:rsidRPr="00CD3BE7">
              <w:rPr>
                <w:rFonts w:ascii="Times New Roman" w:hAnsi="Times New Roman" w:cs="Times New Roman"/>
              </w:rPr>
              <w:t>. Here, </w:t>
            </w:r>
            <w:r w:rsidRPr="00CD3BE7">
              <w:rPr>
                <w:rFonts w:ascii="Times New Roman" w:hAnsi="Times New Roman" w:cs="Times New Roman"/>
                <w:i/>
                <w:iCs/>
              </w:rPr>
              <w:t>h</w:t>
            </w:r>
            <w:r w:rsidRPr="00CD3BE7">
              <w:rPr>
                <w:rFonts w:ascii="Times New Roman" w:hAnsi="Times New Roman" w:cs="Times New Roman"/>
                <w:vertAlign w:val="subscript"/>
              </w:rPr>
              <w:t>3</w:t>
            </w:r>
            <w:r w:rsidRPr="00CD3BE7">
              <w:rPr>
                <w:rFonts w:ascii="Times New Roman" w:hAnsi="Times New Roman" w:cs="Times New Roman"/>
              </w:rPr>
              <w:t>(</w:t>
            </w:r>
            <w:r w:rsidRPr="00CD3BE7">
              <w:rPr>
                <w:rFonts w:ascii="Times New Roman" w:hAnsi="Times New Roman" w:cs="Times New Roman"/>
                <w:i/>
                <w:iCs/>
              </w:rPr>
              <w:t>ξ</w:t>
            </w:r>
            <w:r w:rsidRPr="00CD3BE7">
              <w:rPr>
                <w:rFonts w:ascii="Times New Roman" w:hAnsi="Times New Roman" w:cs="Times New Roman"/>
              </w:rPr>
              <w:t>, </w:t>
            </w:r>
            <w:r w:rsidRPr="00CD3BE7">
              <w:rPr>
                <w:rFonts w:ascii="Times New Roman" w:hAnsi="Times New Roman" w:cs="Times New Roman"/>
                <w:i/>
                <w:iCs/>
              </w:rPr>
              <w:t>η</w:t>
            </w:r>
            <w:r w:rsidRPr="00CD3BE7">
              <w:rPr>
                <w:rFonts w:ascii="Times New Roman" w:hAnsi="Times New Roman" w:cs="Times New Roman"/>
              </w:rPr>
              <w:t>) = 1 has been set such that </w:t>
            </w:r>
            <w:r w:rsidRPr="00CD3BE7">
              <w:rPr>
                <w:rFonts w:ascii="Times New Roman" w:hAnsi="Times New Roman" w:cs="Times New Roman"/>
                <w:i/>
                <w:iCs/>
              </w:rPr>
              <w:t>ζ</w:t>
            </w:r>
            <w:r w:rsidRPr="00CD3BE7">
              <w:rPr>
                <w:rFonts w:ascii="Times New Roman" w:hAnsi="Times New Roman" w:cs="Times New Roman"/>
              </w:rPr>
              <w:t> represents actual distance measured normal to the surface. Similarity requirements for an incompressible fluid are sought on the basis of detailed analyses in order to reduce the governing partial differential equations into a set of ordinary differential equations. Finally, different possible cases are exhibited in a tabular form with the inclusion of </w:t>
            </w:r>
            <w:r w:rsidRPr="00CD3BE7">
              <w:rPr>
                <w:rFonts w:ascii="Times New Roman" w:hAnsi="Times New Roman" w:cs="Times New Roman"/>
                <w:i/>
                <w:iCs/>
              </w:rPr>
              <w:t>ΔT</w:t>
            </w:r>
            <w:r w:rsidRPr="00CD3BE7">
              <w:rPr>
                <w:rFonts w:ascii="Times New Roman" w:hAnsi="Times New Roman" w:cs="Times New Roman"/>
              </w:rPr>
              <w:t> variations for onward flow study that are helpful to the future researchers for the flow over the orthogonal curvilinear surfaces.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3B21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BACCB" w14:textId="77777777" w:rsidR="008D3556" w:rsidRDefault="008D3556" w:rsidP="00C9238F">
      <w:pPr>
        <w:spacing w:after="0" w:line="240" w:lineRule="auto"/>
      </w:pPr>
      <w:r>
        <w:separator/>
      </w:r>
    </w:p>
  </w:endnote>
  <w:endnote w:type="continuationSeparator" w:id="0">
    <w:p w14:paraId="6DBB039A" w14:textId="77777777" w:rsidR="008D3556" w:rsidRDefault="008D35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BDEEA7-435A-4841-8FCE-136016FA9FFF}"/>
    <w:embedBold r:id="rId2" w:fontKey="{ABC3CCCF-BF07-4A85-9BBA-F7F667F3541E}"/>
    <w:embedItalic r:id="rId3" w:fontKey="{0607878A-0559-461A-B95B-D2A448685E79}"/>
    <w:embedBoldItalic r:id="rId4" w:fontKey="{FC8A6358-A03D-4CE7-A478-9B8AAF4E9A55}"/>
  </w:font>
  <w:font w:name="Corbel">
    <w:panose1 w:val="020B0503020204020204"/>
    <w:charset w:val="00"/>
    <w:family w:val="swiss"/>
    <w:pitch w:val="variable"/>
    <w:sig w:usb0="A00002EF" w:usb1="4000A44B" w:usb2="00000000" w:usb3="00000000" w:csb0="0000019F" w:csb1="00000000"/>
    <w:embedRegular r:id="rId5" w:fontKey="{D9D00564-9EBE-472E-BF34-2CBD5E16D03E}"/>
    <w:embedBold r:id="rId6" w:fontKey="{92310A26-E421-416C-BEA5-B00E89145D33}"/>
    <w:embedItalic r:id="rId7" w:fontKey="{46FB68E8-B608-4F91-974D-DB41F4BA759A}"/>
  </w:font>
  <w:font w:name="Vrinda">
    <w:panose1 w:val="00000400000000000000"/>
    <w:charset w:val="00"/>
    <w:family w:val="swiss"/>
    <w:pitch w:val="variable"/>
    <w:sig w:usb0="00010003" w:usb1="00000000" w:usb2="00000000" w:usb3="00000000" w:csb0="00000001" w:csb1="00000000"/>
    <w:embedRegular r:id="rId8" w:fontKey="{86A3FCD0-9094-4A1A-A1E3-662297A6B4CA}"/>
    <w:embedBold r:id="rId9" w:fontKey="{F56F7058-5BD2-423D-A509-3BF35D36564C}"/>
    <w:embedItalic r:id="rId10" w:fontKey="{C7C8F449-F288-4A72-8646-8E019A8A700E}"/>
    <w:embedBoldItalic r:id="rId11" w:fontKey="{0F3E5BD5-3193-451F-8B27-B563D2EB36A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5886D4-CFFA-4D28-A7B3-C22A491B2F43}"/>
  </w:font>
  <w:font w:name="Tahoma">
    <w:panose1 w:val="020B0604030504040204"/>
    <w:charset w:val="00"/>
    <w:family w:val="swiss"/>
    <w:pitch w:val="variable"/>
    <w:sig w:usb0="E1002EFF" w:usb1="C000605B" w:usb2="00000029" w:usb3="00000000" w:csb0="000101FF" w:csb1="00000000"/>
    <w:embedRegular r:id="rId13" w:fontKey="{D3AE06A9-1AC0-4933-825B-BDED6BD46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023D0" w14:textId="77777777" w:rsidR="008D3556" w:rsidRDefault="008D3556" w:rsidP="00C9238F">
      <w:pPr>
        <w:spacing w:after="0" w:line="240" w:lineRule="auto"/>
      </w:pPr>
      <w:r>
        <w:separator/>
      </w:r>
    </w:p>
  </w:footnote>
  <w:footnote w:type="continuationSeparator" w:id="0">
    <w:p w14:paraId="59582385" w14:textId="77777777" w:rsidR="008D3556" w:rsidRDefault="008D35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2535C5D"/>
    <w:multiLevelType w:val="multilevel"/>
    <w:tmpl w:val="4BA8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3"/>
  </w:num>
  <w:num w:numId="2" w16cid:durableId="1866479014">
    <w:abstractNumId w:val="9"/>
  </w:num>
  <w:num w:numId="3" w16cid:durableId="1200312494">
    <w:abstractNumId w:val="17"/>
  </w:num>
  <w:num w:numId="4" w16cid:durableId="2082940748">
    <w:abstractNumId w:val="14"/>
  </w:num>
  <w:num w:numId="5" w16cid:durableId="1628733413">
    <w:abstractNumId w:val="15"/>
  </w:num>
  <w:num w:numId="6" w16cid:durableId="428432786">
    <w:abstractNumId w:val="21"/>
  </w:num>
  <w:num w:numId="7" w16cid:durableId="516430410">
    <w:abstractNumId w:val="8"/>
  </w:num>
  <w:num w:numId="8" w16cid:durableId="181209736">
    <w:abstractNumId w:val="12"/>
  </w:num>
  <w:num w:numId="9" w16cid:durableId="561208927">
    <w:abstractNumId w:val="19"/>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1"/>
  </w:num>
  <w:num w:numId="15" w16cid:durableId="1377851454">
    <w:abstractNumId w:val="10"/>
  </w:num>
  <w:num w:numId="16" w16cid:durableId="1084766479">
    <w:abstractNumId w:val="18"/>
  </w:num>
  <w:num w:numId="17" w16cid:durableId="345789738">
    <w:abstractNumId w:val="4"/>
  </w:num>
  <w:num w:numId="18" w16cid:durableId="2045983498">
    <w:abstractNumId w:val="23"/>
  </w:num>
  <w:num w:numId="19" w16cid:durableId="213737061">
    <w:abstractNumId w:val="20"/>
  </w:num>
  <w:num w:numId="20" w16cid:durableId="1287615589">
    <w:abstractNumId w:val="16"/>
  </w:num>
  <w:num w:numId="21" w16cid:durableId="172840882">
    <w:abstractNumId w:val="22"/>
  </w:num>
  <w:num w:numId="22" w16cid:durableId="406805590">
    <w:abstractNumId w:val="5"/>
  </w:num>
  <w:num w:numId="23" w16cid:durableId="769854578">
    <w:abstractNumId w:val="0"/>
  </w:num>
  <w:num w:numId="24" w16cid:durableId="23659588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17D9"/>
    <w:rsid w:val="000A7AD3"/>
    <w:rsid w:val="000D0A38"/>
    <w:rsid w:val="000D1F49"/>
    <w:rsid w:val="000D23DB"/>
    <w:rsid w:val="000D68B9"/>
    <w:rsid w:val="00110BAB"/>
    <w:rsid w:val="00131511"/>
    <w:rsid w:val="00145680"/>
    <w:rsid w:val="00161CFB"/>
    <w:rsid w:val="001727CA"/>
    <w:rsid w:val="00173E9B"/>
    <w:rsid w:val="00181A74"/>
    <w:rsid w:val="001868E4"/>
    <w:rsid w:val="001E27C4"/>
    <w:rsid w:val="001F5CF8"/>
    <w:rsid w:val="00261DEB"/>
    <w:rsid w:val="00263AD2"/>
    <w:rsid w:val="00282AAC"/>
    <w:rsid w:val="002B7717"/>
    <w:rsid w:val="002C1B31"/>
    <w:rsid w:val="002C56E6"/>
    <w:rsid w:val="002D3238"/>
    <w:rsid w:val="002F2CF9"/>
    <w:rsid w:val="003173EE"/>
    <w:rsid w:val="00336BF6"/>
    <w:rsid w:val="00346D95"/>
    <w:rsid w:val="0035599A"/>
    <w:rsid w:val="00361E11"/>
    <w:rsid w:val="003655FF"/>
    <w:rsid w:val="003746FC"/>
    <w:rsid w:val="00385243"/>
    <w:rsid w:val="00391EE1"/>
    <w:rsid w:val="003B211F"/>
    <w:rsid w:val="003B2C4D"/>
    <w:rsid w:val="003B392C"/>
    <w:rsid w:val="003E27C2"/>
    <w:rsid w:val="003F0847"/>
    <w:rsid w:val="003F12AC"/>
    <w:rsid w:val="0040090B"/>
    <w:rsid w:val="004174E3"/>
    <w:rsid w:val="00421017"/>
    <w:rsid w:val="0046302A"/>
    <w:rsid w:val="00467CEF"/>
    <w:rsid w:val="00477257"/>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24499"/>
    <w:rsid w:val="00741975"/>
    <w:rsid w:val="00770F25"/>
    <w:rsid w:val="00774C74"/>
    <w:rsid w:val="00776FC4"/>
    <w:rsid w:val="007A35A8"/>
    <w:rsid w:val="007B0414"/>
    <w:rsid w:val="007B0A85"/>
    <w:rsid w:val="007B6527"/>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06B6"/>
    <w:rsid w:val="008C634A"/>
    <w:rsid w:val="008D3556"/>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07EDA"/>
    <w:rsid w:val="00B524E8"/>
    <w:rsid w:val="00B61CDA"/>
    <w:rsid w:val="00B6750D"/>
    <w:rsid w:val="00B718BE"/>
    <w:rsid w:val="00B818D8"/>
    <w:rsid w:val="00BB5C37"/>
    <w:rsid w:val="00BC6682"/>
    <w:rsid w:val="00BD3A7F"/>
    <w:rsid w:val="00BD4753"/>
    <w:rsid w:val="00BD5CB1"/>
    <w:rsid w:val="00BE62EE"/>
    <w:rsid w:val="00C003BA"/>
    <w:rsid w:val="00C14321"/>
    <w:rsid w:val="00C26236"/>
    <w:rsid w:val="00C333A6"/>
    <w:rsid w:val="00C46878"/>
    <w:rsid w:val="00C629AC"/>
    <w:rsid w:val="00C77F78"/>
    <w:rsid w:val="00C9238F"/>
    <w:rsid w:val="00C96307"/>
    <w:rsid w:val="00CB3B78"/>
    <w:rsid w:val="00CB4A51"/>
    <w:rsid w:val="00CC7405"/>
    <w:rsid w:val="00CD3BE7"/>
    <w:rsid w:val="00CD4532"/>
    <w:rsid w:val="00CD47B0"/>
    <w:rsid w:val="00CE0E6D"/>
    <w:rsid w:val="00CE6104"/>
    <w:rsid w:val="00CE7918"/>
    <w:rsid w:val="00D03AC6"/>
    <w:rsid w:val="00D05045"/>
    <w:rsid w:val="00D16163"/>
    <w:rsid w:val="00D31E76"/>
    <w:rsid w:val="00D37598"/>
    <w:rsid w:val="00D742AE"/>
    <w:rsid w:val="00D87EAD"/>
    <w:rsid w:val="00DA1571"/>
    <w:rsid w:val="00DB020F"/>
    <w:rsid w:val="00DB3FAD"/>
    <w:rsid w:val="00DD6367"/>
    <w:rsid w:val="00DF5DBC"/>
    <w:rsid w:val="00E00E10"/>
    <w:rsid w:val="00E4784E"/>
    <w:rsid w:val="00E61C09"/>
    <w:rsid w:val="00E84228"/>
    <w:rsid w:val="00EA19AC"/>
    <w:rsid w:val="00EB3B58"/>
    <w:rsid w:val="00EC7359"/>
    <w:rsid w:val="00ED0E1A"/>
    <w:rsid w:val="00EE3054"/>
    <w:rsid w:val="00F00606"/>
    <w:rsid w:val="00F01256"/>
    <w:rsid w:val="00F6558E"/>
    <w:rsid w:val="00F955CD"/>
    <w:rsid w:val="00FC6656"/>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FF230ADF-3E66-4831-9BAF-E8AD8D79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0A1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4561585">
      <w:bodyDiv w:val="1"/>
      <w:marLeft w:val="0"/>
      <w:marRight w:val="0"/>
      <w:marTop w:val="0"/>
      <w:marBottom w:val="0"/>
      <w:divBdr>
        <w:top w:val="none" w:sz="0" w:space="0" w:color="auto"/>
        <w:left w:val="none" w:sz="0" w:space="0" w:color="auto"/>
        <w:bottom w:val="none" w:sz="0" w:space="0" w:color="auto"/>
        <w:right w:val="none" w:sz="0" w:space="0" w:color="auto"/>
      </w:divBdr>
      <w:divsChild>
        <w:div w:id="1323311">
          <w:marLeft w:val="0"/>
          <w:marRight w:val="0"/>
          <w:marTop w:val="0"/>
          <w:marBottom w:val="0"/>
          <w:divBdr>
            <w:top w:val="none" w:sz="0" w:space="0" w:color="auto"/>
            <w:left w:val="none" w:sz="0" w:space="0" w:color="auto"/>
            <w:bottom w:val="none" w:sz="0" w:space="0" w:color="auto"/>
            <w:right w:val="none" w:sz="0" w:space="0" w:color="auto"/>
          </w:divBdr>
        </w:div>
        <w:div w:id="1996256435">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31153476">
      <w:bodyDiv w:val="1"/>
      <w:marLeft w:val="0"/>
      <w:marRight w:val="0"/>
      <w:marTop w:val="0"/>
      <w:marBottom w:val="0"/>
      <w:divBdr>
        <w:top w:val="none" w:sz="0" w:space="0" w:color="auto"/>
        <w:left w:val="none" w:sz="0" w:space="0" w:color="auto"/>
        <w:bottom w:val="none" w:sz="0" w:space="0" w:color="auto"/>
        <w:right w:val="none" w:sz="0" w:space="0" w:color="auto"/>
      </w:divBdr>
    </w:div>
    <w:div w:id="1184977165">
      <w:bodyDiv w:val="1"/>
      <w:marLeft w:val="0"/>
      <w:marRight w:val="0"/>
      <w:marTop w:val="0"/>
      <w:marBottom w:val="0"/>
      <w:divBdr>
        <w:top w:val="none" w:sz="0" w:space="0" w:color="auto"/>
        <w:left w:val="none" w:sz="0" w:space="0" w:color="auto"/>
        <w:bottom w:val="none" w:sz="0" w:space="0" w:color="auto"/>
        <w:right w:val="none" w:sz="0" w:space="0" w:color="auto"/>
      </w:divBdr>
    </w:div>
    <w:div w:id="1193033095">
      <w:bodyDiv w:val="1"/>
      <w:marLeft w:val="0"/>
      <w:marRight w:val="0"/>
      <w:marTop w:val="0"/>
      <w:marBottom w:val="0"/>
      <w:divBdr>
        <w:top w:val="none" w:sz="0" w:space="0" w:color="auto"/>
        <w:left w:val="none" w:sz="0" w:space="0" w:color="auto"/>
        <w:bottom w:val="none" w:sz="0" w:space="0" w:color="auto"/>
        <w:right w:val="none" w:sz="0" w:space="0" w:color="auto"/>
      </w:divBdr>
      <w:divsChild>
        <w:div w:id="1395735051">
          <w:marLeft w:val="0"/>
          <w:marRight w:val="0"/>
          <w:marTop w:val="0"/>
          <w:marBottom w:val="0"/>
          <w:divBdr>
            <w:top w:val="none" w:sz="0" w:space="0" w:color="auto"/>
            <w:left w:val="none" w:sz="0" w:space="0" w:color="auto"/>
            <w:bottom w:val="none" w:sz="0" w:space="0" w:color="auto"/>
            <w:right w:val="none" w:sz="0" w:space="0" w:color="auto"/>
          </w:divBdr>
        </w:div>
      </w:divsChild>
    </w:div>
    <w:div w:id="1221793917">
      <w:bodyDiv w:val="1"/>
      <w:marLeft w:val="0"/>
      <w:marRight w:val="0"/>
      <w:marTop w:val="0"/>
      <w:marBottom w:val="0"/>
      <w:divBdr>
        <w:top w:val="none" w:sz="0" w:space="0" w:color="auto"/>
        <w:left w:val="none" w:sz="0" w:space="0" w:color="auto"/>
        <w:bottom w:val="none" w:sz="0" w:space="0" w:color="auto"/>
        <w:right w:val="none" w:sz="0" w:space="0" w:color="auto"/>
      </w:divBdr>
    </w:div>
    <w:div w:id="1426341768">
      <w:bodyDiv w:val="1"/>
      <w:marLeft w:val="0"/>
      <w:marRight w:val="0"/>
      <w:marTop w:val="0"/>
      <w:marBottom w:val="0"/>
      <w:divBdr>
        <w:top w:val="none" w:sz="0" w:space="0" w:color="auto"/>
        <w:left w:val="none" w:sz="0" w:space="0" w:color="auto"/>
        <w:bottom w:val="none" w:sz="0" w:space="0" w:color="auto"/>
        <w:right w:val="none" w:sz="0" w:space="0" w:color="auto"/>
      </w:divBdr>
    </w:div>
    <w:div w:id="151434219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87259976">
      <w:bodyDiv w:val="1"/>
      <w:marLeft w:val="0"/>
      <w:marRight w:val="0"/>
      <w:marTop w:val="0"/>
      <w:marBottom w:val="0"/>
      <w:divBdr>
        <w:top w:val="none" w:sz="0" w:space="0" w:color="auto"/>
        <w:left w:val="none" w:sz="0" w:space="0" w:color="auto"/>
        <w:bottom w:val="none" w:sz="0" w:space="0" w:color="auto"/>
        <w:right w:val="none" w:sz="0" w:space="0" w:color="auto"/>
      </w:divBdr>
      <w:divsChild>
        <w:div w:id="890455782">
          <w:marLeft w:val="0"/>
          <w:marRight w:val="0"/>
          <w:marTop w:val="0"/>
          <w:marBottom w:val="0"/>
          <w:divBdr>
            <w:top w:val="none" w:sz="0" w:space="0" w:color="auto"/>
            <w:left w:val="none" w:sz="0" w:space="0" w:color="auto"/>
            <w:bottom w:val="none" w:sz="0" w:space="0" w:color="auto"/>
            <w:right w:val="none" w:sz="0" w:space="0" w:color="auto"/>
          </w:divBdr>
        </w:div>
        <w:div w:id="272832843">
          <w:marLeft w:val="0"/>
          <w:marRight w:val="0"/>
          <w:marTop w:val="0"/>
          <w:marBottom w:val="0"/>
          <w:divBdr>
            <w:top w:val="none" w:sz="0" w:space="0" w:color="auto"/>
            <w:left w:val="none" w:sz="0" w:space="0" w:color="auto"/>
            <w:bottom w:val="none" w:sz="0" w:space="0" w:color="auto"/>
            <w:right w:val="none" w:sz="0" w:space="0" w:color="auto"/>
          </w:divBdr>
        </w:div>
      </w:divsChild>
    </w:div>
    <w:div w:id="1928608524">
      <w:bodyDiv w:val="1"/>
      <w:marLeft w:val="0"/>
      <w:marRight w:val="0"/>
      <w:marTop w:val="0"/>
      <w:marBottom w:val="0"/>
      <w:divBdr>
        <w:top w:val="none" w:sz="0" w:space="0" w:color="auto"/>
        <w:left w:val="none" w:sz="0" w:space="0" w:color="auto"/>
        <w:bottom w:val="none" w:sz="0" w:space="0" w:color="auto"/>
        <w:right w:val="none" w:sz="0" w:space="0" w:color="auto"/>
      </w:divBdr>
    </w:div>
    <w:div w:id="2131390600">
      <w:bodyDiv w:val="1"/>
      <w:marLeft w:val="0"/>
      <w:marRight w:val="0"/>
      <w:marTop w:val="0"/>
      <w:marBottom w:val="0"/>
      <w:divBdr>
        <w:top w:val="none" w:sz="0" w:space="0" w:color="auto"/>
        <w:left w:val="none" w:sz="0" w:space="0" w:color="auto"/>
        <w:bottom w:val="none" w:sz="0" w:space="0" w:color="auto"/>
        <w:right w:val="none" w:sz="0" w:space="0" w:color="auto"/>
      </w:divBdr>
      <w:divsChild>
        <w:div w:id="1228498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library.wiley.com/doi/full/10.1155/2020/7486971"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i.org/10.1155/2020/748697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citations?view_op=view_citation&amp;hl=en&amp;user=UhkxgEQAAAAJ&amp;sortby=pubdate&amp;citation_for_view=UhkxgEQAAAAJ:dQ2og3OwTAUC"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17</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Maleque</dc:creator>
  <cp:lastModifiedBy>Maleque</cp:lastModifiedBy>
  <cp:revision>7</cp:revision>
  <dcterms:created xsi:type="dcterms:W3CDTF">2025-01-19T07:26:00Z</dcterms:created>
  <dcterms:modified xsi:type="dcterms:W3CDTF">2025-01-19T07:44:00Z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