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838B4A2" w:rsidR="00C9238F" w:rsidRPr="00C333A6" w:rsidRDefault="00EB4B9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B4B92">
              <w:rPr>
                <w:rFonts w:ascii="Times New Roman" w:hAnsi="Times New Roman" w:cs="Times New Roman"/>
              </w:rPr>
              <w:t>Hybrid Power System Frequency Control including Wind Farm using Battery Storage System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E994ED8" w:rsidR="00C9238F" w:rsidRPr="005E19AD" w:rsidRDefault="00EB4B92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EB4B92">
              <w:rPr>
                <w:rFonts w:ascii="Times New Roman" w:hAnsi="Times New Roman" w:cs="Times New Roman"/>
              </w:rPr>
              <w:t>Anannya</w:t>
            </w:r>
            <w:proofErr w:type="spellEnd"/>
            <w:r w:rsidRPr="00EB4B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4B92">
              <w:rPr>
                <w:rFonts w:ascii="Times New Roman" w:hAnsi="Times New Roman" w:cs="Times New Roman"/>
              </w:rPr>
              <w:t>Mondol</w:t>
            </w:r>
            <w:proofErr w:type="spellEnd"/>
            <w:r w:rsidRPr="00EB4B92">
              <w:rPr>
                <w:rFonts w:ascii="Times New Roman" w:hAnsi="Times New Roman" w:cs="Times New Roman"/>
              </w:rPr>
              <w:t xml:space="preserve">, Md. Rifat Hazari, Mohammad Abdul Mannan, </w:t>
            </w:r>
            <w:proofErr w:type="spellStart"/>
            <w:r w:rsidRPr="00EB4B92">
              <w:rPr>
                <w:rFonts w:ascii="Times New Roman" w:hAnsi="Times New Roman" w:cs="Times New Roman"/>
              </w:rPr>
              <w:t>Junji</w:t>
            </w:r>
            <w:proofErr w:type="spellEnd"/>
            <w:r w:rsidRPr="00EB4B92">
              <w:rPr>
                <w:rFonts w:ascii="Times New Roman" w:hAnsi="Times New Roman" w:cs="Times New Roman"/>
              </w:rPr>
              <w:t xml:space="preserve"> Tamura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940368A" w:rsidR="00C9238F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rifat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3EB598D" w:rsidR="00C9238F" w:rsidRPr="005E19AD" w:rsidRDefault="00A82A3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AIUB Journal of Science and Engineering (AJSE)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817536D" w:rsidR="00576892" w:rsidRPr="005E19AD" w:rsidRDefault="00EB4B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2A20A17" w:rsidR="00576892" w:rsidRPr="005E19AD" w:rsidRDefault="00EB4B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D92E9C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International University-Bangladesh (AIUB)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6E7F79D" w:rsidR="00852B20" w:rsidRPr="005E19AD" w:rsidRDefault="00EB4B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  <w:r w:rsidR="00B9197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29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05919CD" w:rsidR="00852B20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1608</w:t>
            </w:r>
            <w:r w:rsidR="00D31E76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3679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0E887F0" w:rsidR="00852B20" w:rsidRPr="00C333A6" w:rsidRDefault="00EB4B92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EB4B92">
              <w:rPr>
                <w:rFonts w:ascii="Times New Roman" w:hAnsi="Times New Roman" w:cs="Times New Roman"/>
              </w:rPr>
              <w:t>https://doi.org/10.53799/ajse.v19i1.56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FBADDDF" w:rsidR="00C9238F" w:rsidRPr="005E19AD" w:rsidRDefault="00EB4B9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B4B92">
              <w:rPr>
                <w:rFonts w:ascii="Times New Roman" w:hAnsi="Times New Roman" w:cs="Times New Roman"/>
              </w:rPr>
              <w:t>https://ajse.aiub.edu/index.php/ajse/article/view/56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2B97AC4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EB4B92">
              <w:rPr>
                <w:rFonts w:ascii="Times New Roman" w:hAnsi="Times New Roman" w:cs="Times New Roman"/>
              </w:rPr>
              <w:t>s</w:t>
            </w:r>
            <w:r w:rsidRPr="00110BAB">
              <w:rPr>
                <w:rFonts w:ascii="Times New Roman" w:hAnsi="Times New Roman" w:cs="Times New Roman"/>
              </w:rPr>
              <w:t xml:space="preserve"> </w:t>
            </w:r>
            <w:r w:rsidR="00EB4B92" w:rsidRPr="00EB4B92">
              <w:rPr>
                <w:rFonts w:ascii="Times New Roman" w:hAnsi="Times New Roman" w:cs="Times New Roman"/>
              </w:rPr>
              <w:t>41-46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3A3D60EB" w:rsidR="00852B20" w:rsidRPr="005E19AD" w:rsidRDefault="00EB4B92" w:rsidP="004851E1">
            <w:pPr>
              <w:jc w:val="both"/>
              <w:rPr>
                <w:rFonts w:ascii="Times New Roman" w:hAnsi="Times New Roman" w:cs="Times New Roman"/>
              </w:rPr>
            </w:pPr>
            <w:r w:rsidRPr="00EB4B92">
              <w:rPr>
                <w:rFonts w:ascii="Times New Roman" w:hAnsi="Times New Roman" w:cs="Times New Roman"/>
              </w:rPr>
              <w:t>Fixed speed wind turbine-squirrel cage induction generator (FSWT-SCIG) based wind farm (WF) is increasing significantly. However, FSWT-SCIG have no frequency control capability, which creates a significant problem on power system steady-state stability. This paper represents a new operational strategy to control frequency of the entire power system including large-scale FSWT-SCIG based WF by using battery storage system (BSS). The proposed cascaded control of BSS is designed to provide effective amount of real power during steady-state period to damp frequency fluctuations. To evaluate the validity of the proposed system, simulation studies are executed on a reformed IEEE nine-bus power system with three synchronous generators (SGs) and SCIG-based WF along with BSS. The simulation results indicate that the proposed system can be an effective solution to reduce frequency fluctuations of the hybrid power system during steady-state condition.</w:t>
            </w: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5C81B" w14:textId="77777777" w:rsidR="007867F7" w:rsidRDefault="007867F7" w:rsidP="00C9238F">
      <w:pPr>
        <w:spacing w:after="0" w:line="240" w:lineRule="auto"/>
      </w:pPr>
      <w:r>
        <w:separator/>
      </w:r>
    </w:p>
  </w:endnote>
  <w:endnote w:type="continuationSeparator" w:id="0">
    <w:p w14:paraId="53FBF035" w14:textId="77777777" w:rsidR="007867F7" w:rsidRDefault="007867F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0166FB-A5D7-4935-8F00-60EDA78F0257}"/>
    <w:embedBold r:id="rId2" w:fontKey="{7C384B97-6551-4AA6-A9FF-DAA4A5821680}"/>
    <w:embedItalic r:id="rId3" w:fontKey="{58EBECE6-F1F7-414F-A745-F870A9A0F82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46133BC-0A2B-4A38-856F-37E57EFE482C}"/>
    <w:embedBold r:id="rId5" w:fontKey="{F07B0C41-63B3-444A-8ED1-E3ACD504C9EB}"/>
    <w:embedItalic r:id="rId6" w:fontKey="{70A997B0-5039-46B7-B3CC-594450FC39B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3DC097D-E10C-4D00-A9FA-79F10EEAAC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0AF11" w14:textId="77777777" w:rsidR="007867F7" w:rsidRDefault="007867F7" w:rsidP="00C9238F">
      <w:pPr>
        <w:spacing w:after="0" w:line="240" w:lineRule="auto"/>
      </w:pPr>
      <w:r>
        <w:separator/>
      </w:r>
    </w:p>
  </w:footnote>
  <w:footnote w:type="continuationSeparator" w:id="0">
    <w:p w14:paraId="68D36C14" w14:textId="77777777" w:rsidR="007867F7" w:rsidRDefault="007867F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382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E42F4"/>
    <w:rsid w:val="003F0847"/>
    <w:rsid w:val="0040090B"/>
    <w:rsid w:val="004070B8"/>
    <w:rsid w:val="00421017"/>
    <w:rsid w:val="00445BF2"/>
    <w:rsid w:val="0046302A"/>
    <w:rsid w:val="004851E1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867F7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2057F"/>
    <w:rsid w:val="00940E73"/>
    <w:rsid w:val="0098597D"/>
    <w:rsid w:val="009F619A"/>
    <w:rsid w:val="009F6DDE"/>
    <w:rsid w:val="009F77CA"/>
    <w:rsid w:val="00A1613A"/>
    <w:rsid w:val="00A370A8"/>
    <w:rsid w:val="00A42CD2"/>
    <w:rsid w:val="00A82A33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57B19"/>
    <w:rsid w:val="00C9238F"/>
    <w:rsid w:val="00C96307"/>
    <w:rsid w:val="00CB4A51"/>
    <w:rsid w:val="00CD4532"/>
    <w:rsid w:val="00CD47B0"/>
    <w:rsid w:val="00CE00B4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B4B92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2022-04-19T13:22:00Z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