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385C227" w:rsidR="00C9238F" w:rsidRPr="00A26418" w:rsidRDefault="00A26418" w:rsidP="005978CF">
            <w:pPr>
              <w:pStyle w:val="Heading1"/>
              <w:spacing w:before="0" w:after="0"/>
              <w:outlineLvl w:val="0"/>
              <w:rPr>
                <w:rFonts w:ascii="Times New Roman" w:hAnsi="Times New Roman" w:cs="Times New Roman"/>
                <w:b w:val="0"/>
                <w:bCs/>
                <w:color w:val="505050"/>
                <w:sz w:val="28"/>
              </w:rPr>
            </w:pPr>
            <w:r w:rsidRPr="00A26418">
              <w:rPr>
                <w:rFonts w:ascii="Arial" w:hAnsi="Arial" w:cs="Arial"/>
                <w:b w:val="0"/>
                <w:bCs/>
                <w:color w:val="222222"/>
                <w:sz w:val="28"/>
                <w:shd w:val="clear" w:color="auto" w:fill="FFFFFF"/>
              </w:rPr>
              <w:t xml:space="preserve">Numerical exploration of thermal and mass transportation by </w:t>
            </w:r>
            <w:proofErr w:type="spellStart"/>
            <w:r w:rsidRPr="00A26418">
              <w:rPr>
                <w:rFonts w:ascii="Arial" w:hAnsi="Arial" w:cs="Arial"/>
                <w:b w:val="0"/>
                <w:bCs/>
                <w:color w:val="222222"/>
                <w:sz w:val="28"/>
                <w:shd w:val="clear" w:color="auto" w:fill="FFFFFF"/>
              </w:rPr>
              <w:t>utilising</w:t>
            </w:r>
            <w:proofErr w:type="spellEnd"/>
            <w:r w:rsidRPr="00A26418">
              <w:rPr>
                <w:rFonts w:ascii="Arial" w:hAnsi="Arial" w:cs="Arial"/>
                <w:b w:val="0"/>
                <w:bCs/>
                <w:color w:val="222222"/>
                <w:sz w:val="28"/>
                <w:shd w:val="clear" w:color="auto" w:fill="FFFFFF"/>
              </w:rPr>
              <w:t xml:space="preserve"> non-Fourier double diffusion theories for Casson model under Hall and ion slip effects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B5C17AD" w:rsidR="00C9238F" w:rsidRPr="005E19AD" w:rsidRDefault="00A26418" w:rsidP="005E19AD">
            <w:pPr>
              <w:spacing w:before="240"/>
              <w:rPr>
                <w:rFonts w:ascii="Times New Roman" w:hAnsi="Times New Roman" w:cs="Times New Roman"/>
              </w:rPr>
            </w:pPr>
            <w:r>
              <w:rPr>
                <w:rFonts w:ascii="Arial" w:hAnsi="Arial" w:cs="Arial"/>
                <w:color w:val="222222"/>
                <w:sz w:val="20"/>
                <w:szCs w:val="20"/>
                <w:shd w:val="clear" w:color="auto" w:fill="FFFFFF"/>
              </w:rPr>
              <w:t>MAHMOUD M SELIM and PHATIPHAT THOUNTHONG MUHAMMAD SOHAIL, HUSSAM ALRABAIAH, UMAIR ALI, FATEMA TUZ ZOHRA</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650F714" w:rsidR="00C9238F" w:rsidRPr="005E19AD" w:rsidRDefault="005978CF" w:rsidP="00576892">
            <w:pPr>
              <w:spacing w:before="240"/>
              <w:rPr>
                <w:rFonts w:ascii="Times New Roman" w:hAnsi="Times New Roman" w:cs="Times New Roman"/>
              </w:rPr>
            </w:pPr>
            <w:r>
              <w:rPr>
                <w:rFonts w:ascii="Times New Roman" w:hAnsi="Times New Roman" w:cs="Times New Roman"/>
              </w:rPr>
              <w:t>fatema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8840BB3" w:rsidR="00C9238F" w:rsidRPr="005E19AD" w:rsidRDefault="00A26418" w:rsidP="00576892">
            <w:pPr>
              <w:spacing w:before="240"/>
              <w:rPr>
                <w:rFonts w:ascii="Times New Roman" w:hAnsi="Times New Roman" w:cs="Times New Roman"/>
              </w:rPr>
            </w:pPr>
            <w:proofErr w:type="spellStart"/>
            <w:r>
              <w:rPr>
                <w:rFonts w:ascii="Arial" w:hAnsi="Arial" w:cs="Arial"/>
                <w:color w:val="222222"/>
                <w:sz w:val="20"/>
                <w:szCs w:val="20"/>
                <w:shd w:val="clear" w:color="auto" w:fill="FFFFFF"/>
              </w:rPr>
              <w:t>Pramana</w:t>
            </w:r>
            <w:proofErr w:type="spellEnd"/>
            <w:r>
              <w:rPr>
                <w:rFonts w:ascii="Arial" w:hAnsi="Arial" w:cs="Arial"/>
                <w:color w:val="222222"/>
                <w:sz w:val="20"/>
                <w:szCs w:val="20"/>
                <w:shd w:val="clear" w:color="auto" w:fill="FFFFFF"/>
              </w:rPr>
              <w:t xml:space="preserve"> – Journal of Physics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A5EABC4" w:rsidR="00576892" w:rsidRPr="005E19AD" w:rsidRDefault="00A26418" w:rsidP="00576892">
            <w:pPr>
              <w:spacing w:before="240"/>
              <w:rPr>
                <w:rFonts w:ascii="Times New Roman" w:hAnsi="Times New Roman" w:cs="Times New Roman"/>
              </w:rPr>
            </w:pPr>
            <w:r>
              <w:rPr>
                <w:rFonts w:ascii="Times New Roman" w:hAnsi="Times New Roman" w:cs="Times New Roman"/>
              </w:rPr>
              <w:t>95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AEFD4C6" w:rsidR="00576892" w:rsidRPr="005E19AD" w:rsidRDefault="00A26418" w:rsidP="00576892">
            <w:pPr>
              <w:spacing w:before="240"/>
              <w:rPr>
                <w:rFonts w:ascii="Times New Roman" w:hAnsi="Times New Roman" w:cs="Times New Roman"/>
              </w:rPr>
            </w:pPr>
            <w:r>
              <w:rPr>
                <w:rFonts w:ascii="Times New Roman" w:hAnsi="Times New Roman" w:cs="Times New Roman"/>
              </w:rPr>
              <w:t>185</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FBA581B" w:rsidR="00852B20" w:rsidRPr="005E19AD" w:rsidRDefault="00A26418" w:rsidP="00576892">
            <w:pPr>
              <w:spacing w:before="240"/>
              <w:rPr>
                <w:rFonts w:ascii="Times New Roman" w:hAnsi="Times New Roman" w:cs="Times New Roman"/>
              </w:rPr>
            </w:pPr>
            <w:r>
              <w:rPr>
                <w:rFonts w:ascii="Times New Roman" w:hAnsi="Times New Roman" w:cs="Times New Roman"/>
              </w:rPr>
              <w:t>Springer</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45CB899" w:rsidR="00852B20" w:rsidRPr="005E19AD" w:rsidRDefault="00A26418" w:rsidP="00576892">
            <w:pPr>
              <w:spacing w:before="240"/>
              <w:rPr>
                <w:rFonts w:ascii="Times New Roman" w:hAnsi="Times New Roman" w:cs="Times New Roman"/>
              </w:rPr>
            </w:pPr>
            <w:r>
              <w:rPr>
                <w:rFonts w:ascii="Arial" w:hAnsi="Arial" w:cs="Arial"/>
                <w:color w:val="222222"/>
                <w:sz w:val="20"/>
                <w:szCs w:val="20"/>
                <w:shd w:val="clear" w:color="auto" w:fill="FFFFFF"/>
              </w:rPr>
              <w:t>2021/10/28</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15FBF43" w:rsidR="00852B20" w:rsidRPr="005E19AD" w:rsidRDefault="00AE05B6" w:rsidP="00576892">
            <w:pPr>
              <w:spacing w:before="240"/>
              <w:rPr>
                <w:rFonts w:ascii="Times New Roman" w:hAnsi="Times New Roman" w:cs="Times New Roman"/>
              </w:rPr>
            </w:pPr>
            <w:r w:rsidRPr="005638A2">
              <w:rPr>
                <w:bCs/>
              </w:rPr>
              <w:t>23977922, 23977914</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A7C2DE6" w:rsidR="00852B20" w:rsidRPr="00567CEB" w:rsidRDefault="00A26418" w:rsidP="00C333A6">
            <w:pPr>
              <w:spacing w:before="240"/>
              <w:rPr>
                <w:rFonts w:ascii="Times New Roman" w:hAnsi="Times New Roman" w:cs="Times New Roman"/>
                <w:color w:val="000000" w:themeColor="text1"/>
              </w:rPr>
            </w:pPr>
            <w:r>
              <w:rPr>
                <w:rFonts w:ascii="Segoe UI" w:hAnsi="Segoe UI" w:cs="Segoe UI"/>
                <w:color w:val="333333"/>
                <w:shd w:val="clear" w:color="auto" w:fill="FCFCFC"/>
              </w:rPr>
              <w:t>doi.org/10.1007/s12043-021-02220-y</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4D928DA" w:rsidR="00C9238F" w:rsidRPr="00AE05B6" w:rsidRDefault="00A26418" w:rsidP="00576892">
            <w:pPr>
              <w:spacing w:before="240"/>
              <w:rPr>
                <w:rFonts w:ascii="Times New Roman" w:hAnsi="Times New Roman" w:cs="Times New Roman"/>
                <w:color w:val="000000" w:themeColor="text1"/>
              </w:rPr>
            </w:pPr>
            <w:r>
              <w:rPr>
                <w:rFonts w:ascii="Segoe UI" w:hAnsi="Segoe UI" w:cs="Segoe UI"/>
                <w:color w:val="333333"/>
                <w:shd w:val="clear" w:color="auto" w:fill="FCFCFC"/>
              </w:rPr>
              <w:t>https://doi.org/10.1007/s12043-021-02220-y</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BF1E51E"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1082CEB6" w:rsidR="00852B20" w:rsidRPr="005E19AD" w:rsidRDefault="00A26418" w:rsidP="00576892">
            <w:pPr>
              <w:rPr>
                <w:rFonts w:ascii="Times New Roman" w:hAnsi="Times New Roman" w:cs="Times New Roman"/>
              </w:rPr>
            </w:pPr>
            <w:r>
              <w:rPr>
                <w:rFonts w:ascii="Georgia" w:hAnsi="Georgia"/>
                <w:color w:val="333333"/>
                <w:sz w:val="27"/>
                <w:szCs w:val="27"/>
                <w:shd w:val="clear" w:color="auto" w:fill="FCFCFC"/>
              </w:rPr>
              <w:t xml:space="preserve">Non-Newtonian materials have attracted the attention of scientists and engineers due to their many applications in the current era. This </w:t>
            </w:r>
            <w:proofErr w:type="spellStart"/>
            <w:r>
              <w:rPr>
                <w:rFonts w:ascii="Georgia" w:hAnsi="Georgia"/>
                <w:color w:val="333333"/>
                <w:sz w:val="27"/>
                <w:szCs w:val="27"/>
                <w:shd w:val="clear" w:color="auto" w:fill="FCFCFC"/>
              </w:rPr>
              <w:t>endeavour</w:t>
            </w:r>
            <w:proofErr w:type="spellEnd"/>
            <w:r>
              <w:rPr>
                <w:rFonts w:ascii="Georgia" w:hAnsi="Georgia"/>
                <w:color w:val="333333"/>
                <w:sz w:val="27"/>
                <w:szCs w:val="27"/>
                <w:shd w:val="clear" w:color="auto" w:fill="FCFCFC"/>
              </w:rPr>
              <w:t xml:space="preserve"> is conducted to </w:t>
            </w:r>
            <w:proofErr w:type="spellStart"/>
            <w:r>
              <w:rPr>
                <w:rFonts w:ascii="Georgia" w:hAnsi="Georgia"/>
                <w:color w:val="333333"/>
                <w:sz w:val="27"/>
                <w:szCs w:val="27"/>
                <w:shd w:val="clear" w:color="auto" w:fill="FCFCFC"/>
              </w:rPr>
              <w:t>utilise</w:t>
            </w:r>
            <w:proofErr w:type="spellEnd"/>
            <w:r>
              <w:rPr>
                <w:rFonts w:ascii="Georgia" w:hAnsi="Georgia"/>
                <w:color w:val="333333"/>
                <w:sz w:val="27"/>
                <w:szCs w:val="27"/>
                <w:shd w:val="clear" w:color="auto" w:fill="FCFCFC"/>
              </w:rPr>
              <w:t xml:space="preserve"> the </w:t>
            </w:r>
            <w:proofErr w:type="spellStart"/>
            <w:r>
              <w:rPr>
                <w:rFonts w:ascii="Georgia" w:hAnsi="Georgia"/>
                <w:color w:val="333333"/>
                <w:sz w:val="27"/>
                <w:szCs w:val="27"/>
                <w:shd w:val="clear" w:color="auto" w:fill="FCFCFC"/>
              </w:rPr>
              <w:t>generalised</w:t>
            </w:r>
            <w:proofErr w:type="spellEnd"/>
            <w:r>
              <w:rPr>
                <w:rFonts w:ascii="Georgia" w:hAnsi="Georgia"/>
                <w:color w:val="333333"/>
                <w:sz w:val="27"/>
                <w:szCs w:val="27"/>
                <w:shd w:val="clear" w:color="auto" w:fill="FCFCFC"/>
              </w:rPr>
              <w:t xml:space="preserve"> Ohm law with thermal and mass transportation. Phenomena of heat and mass transfer are based on </w:t>
            </w:r>
            <w:proofErr w:type="spellStart"/>
            <w:r>
              <w:rPr>
                <w:rFonts w:ascii="Georgia" w:hAnsi="Georgia"/>
                <w:color w:val="333333"/>
                <w:sz w:val="27"/>
                <w:szCs w:val="27"/>
                <w:shd w:val="clear" w:color="auto" w:fill="FCFCFC"/>
              </w:rPr>
              <w:t>generalised</w:t>
            </w:r>
            <w:proofErr w:type="spellEnd"/>
            <w:r>
              <w:rPr>
                <w:rFonts w:ascii="Georgia" w:hAnsi="Georgia"/>
                <w:color w:val="333333"/>
                <w:sz w:val="27"/>
                <w:szCs w:val="27"/>
                <w:shd w:val="clear" w:color="auto" w:fill="FCFCFC"/>
              </w:rPr>
              <w:t xml:space="preserve"> Fourier and Fick’s laws respectively. Present analysis examines magnetohydrodynamic (MHD) three-dimensional flow of the Casson liquid. Flow is assumed to be over a stretched surface which is stretched in two directions. Contribution of Hall and ion slip effects are included. Diffusion phenomenon is captured using the </w:t>
            </w:r>
            <w:proofErr w:type="spellStart"/>
            <w:r>
              <w:rPr>
                <w:rFonts w:ascii="Georgia" w:hAnsi="Georgia"/>
                <w:color w:val="333333"/>
                <w:sz w:val="27"/>
                <w:szCs w:val="27"/>
                <w:shd w:val="clear" w:color="auto" w:fill="FCFCFC"/>
              </w:rPr>
              <w:t>Boungrino</w:t>
            </w:r>
            <w:proofErr w:type="spellEnd"/>
            <w:r>
              <w:rPr>
                <w:rFonts w:ascii="Georgia" w:hAnsi="Georgia"/>
                <w:color w:val="333333"/>
                <w:sz w:val="27"/>
                <w:szCs w:val="27"/>
                <w:shd w:val="clear" w:color="auto" w:fill="FCFCFC"/>
              </w:rPr>
              <w:t xml:space="preserve"> model. Convergent series solutions by </w:t>
            </w:r>
            <w:proofErr w:type="spellStart"/>
            <w:r>
              <w:rPr>
                <w:rFonts w:ascii="Georgia" w:hAnsi="Georgia"/>
                <w:color w:val="333333"/>
                <w:sz w:val="27"/>
                <w:szCs w:val="27"/>
                <w:shd w:val="clear" w:color="auto" w:fill="FCFCFC"/>
              </w:rPr>
              <w:t>homotopy</w:t>
            </w:r>
            <w:proofErr w:type="spellEnd"/>
            <w:r>
              <w:rPr>
                <w:rFonts w:ascii="Georgia" w:hAnsi="Georgia"/>
                <w:color w:val="333333"/>
                <w:sz w:val="27"/>
                <w:szCs w:val="27"/>
                <w:shd w:val="clear" w:color="auto" w:fill="FCFCFC"/>
              </w:rPr>
              <w:t xml:space="preserve"> algorithm </w:t>
            </w:r>
            <w:proofErr w:type="gramStart"/>
            <w:r>
              <w:rPr>
                <w:rFonts w:ascii="Georgia" w:hAnsi="Georgia"/>
                <w:color w:val="333333"/>
                <w:sz w:val="27"/>
                <w:szCs w:val="27"/>
                <w:shd w:val="clear" w:color="auto" w:fill="FCFCFC"/>
              </w:rPr>
              <w:t>is</w:t>
            </w:r>
            <w:proofErr w:type="gramEnd"/>
            <w:r>
              <w:rPr>
                <w:rFonts w:ascii="Georgia" w:hAnsi="Georgia"/>
                <w:color w:val="333333"/>
                <w:sz w:val="27"/>
                <w:szCs w:val="27"/>
                <w:shd w:val="clear" w:color="auto" w:fill="FCFCFC"/>
              </w:rPr>
              <w:t xml:space="preserve"> also derived. Physical quantities of interest are discussed with respect to the involved variables. Convergence of the applied scheme is presented in the form of error analysis. </w:t>
            </w:r>
            <w:proofErr w:type="gramStart"/>
            <w:r>
              <w:rPr>
                <w:rFonts w:ascii="Georgia" w:hAnsi="Georgia"/>
                <w:color w:val="333333"/>
                <w:sz w:val="27"/>
                <w:szCs w:val="27"/>
                <w:shd w:val="clear" w:color="auto" w:fill="FCFCFC"/>
              </w:rPr>
              <w:t>Also</w:t>
            </w:r>
            <w:proofErr w:type="gramEnd"/>
            <w:r>
              <w:rPr>
                <w:rFonts w:ascii="Georgia" w:hAnsi="Georgia"/>
                <w:color w:val="333333"/>
                <w:sz w:val="27"/>
                <w:szCs w:val="27"/>
                <w:shd w:val="clear" w:color="auto" w:fill="FCFCFC"/>
              </w:rPr>
              <w:t xml:space="preserve"> convergence is shown by computing dimensionless stresses, heat and mass transfer rates. Authenticity of the achieved result is shown by comparing the obtained results with those from the open literature and excellent similarity is attained and recorded. Diffusion of mass and heat can be controlled by enhancing the thermal, </w:t>
            </w:r>
            <w:proofErr w:type="spellStart"/>
            <w:r>
              <w:rPr>
                <w:rFonts w:ascii="Georgia" w:hAnsi="Georgia"/>
                <w:color w:val="333333"/>
                <w:sz w:val="27"/>
                <w:szCs w:val="27"/>
                <w:shd w:val="clear" w:color="auto" w:fill="FCFCFC"/>
              </w:rPr>
              <w:t>solutal</w:t>
            </w:r>
            <w:proofErr w:type="spellEnd"/>
            <w:r>
              <w:rPr>
                <w:rFonts w:ascii="Georgia" w:hAnsi="Georgia"/>
                <w:color w:val="333333"/>
                <w:sz w:val="27"/>
                <w:szCs w:val="27"/>
                <w:shd w:val="clear" w:color="auto" w:fill="FCFCFC"/>
              </w:rPr>
              <w:t xml:space="preserve"> factors and Prandtl and Schmidt numbers.</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6B16D" w14:textId="77777777" w:rsidR="009B49CB" w:rsidRDefault="009B49CB" w:rsidP="00C9238F">
      <w:pPr>
        <w:spacing w:after="0" w:line="240" w:lineRule="auto"/>
      </w:pPr>
      <w:r>
        <w:separator/>
      </w:r>
    </w:p>
  </w:endnote>
  <w:endnote w:type="continuationSeparator" w:id="0">
    <w:p w14:paraId="08AA07BB" w14:textId="77777777" w:rsidR="009B49CB" w:rsidRDefault="009B49C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B15518-AEB4-49AC-8C7B-DFEA76B73017}"/>
    <w:embedBold r:id="rId2" w:fontKey="{0CDB6345-2B56-4542-AEE6-E46A1664FDFA}"/>
    <w:embedItalic r:id="rId3" w:fontKey="{4FBDB678-44A5-42D6-8AF3-23C8F3BF6BFE}"/>
    <w:embedBoldItalic r:id="rId4" w:fontKey="{C563ED58-DD5B-47E9-8BE9-3427471F7EB5}"/>
  </w:font>
  <w:font w:name="Corbel">
    <w:panose1 w:val="020B0503020204020204"/>
    <w:charset w:val="00"/>
    <w:family w:val="swiss"/>
    <w:pitch w:val="variable"/>
    <w:sig w:usb0="A00002EF" w:usb1="4000A44B" w:usb2="00000000" w:usb3="00000000" w:csb0="0000019F" w:csb1="00000000"/>
    <w:embedRegular r:id="rId5" w:fontKey="{122A61B0-C0AB-4B37-87F2-24AA2FE9B702}"/>
    <w:embedBold r:id="rId6" w:fontKey="{2D9FA899-F4DE-43C3-A7EF-4684F2FEACF6}"/>
    <w:embedItalic r:id="rId7" w:fontKey="{1E2198A5-6C51-4689-AEF6-3E96CDD77C28}"/>
  </w:font>
  <w:font w:name="Consolas">
    <w:panose1 w:val="020B0609020204030204"/>
    <w:charset w:val="00"/>
    <w:family w:val="modern"/>
    <w:pitch w:val="fixed"/>
    <w:sig w:usb0="E00006FF" w:usb1="0000FCFF" w:usb2="00000001" w:usb3="00000000" w:csb0="0000019F" w:csb1="00000000"/>
    <w:embedRegular r:id="rId8" w:fontKey="{55472DE0-8810-4396-BA99-A1A46310835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25F807B4-77C0-4719-99C5-A004CDEE3851}"/>
  </w:font>
  <w:font w:name="Georgia">
    <w:panose1 w:val="02040502050405020303"/>
    <w:charset w:val="00"/>
    <w:family w:val="roman"/>
    <w:pitch w:val="variable"/>
    <w:sig w:usb0="00000287" w:usb1="00000000" w:usb2="00000000" w:usb3="00000000" w:csb0="0000009F" w:csb1="00000000"/>
    <w:embedRegular r:id="rId10" w:fontKey="{88F1639A-473B-4794-9E4C-178D82F46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AC687" w14:textId="77777777" w:rsidR="009B49CB" w:rsidRDefault="009B49CB" w:rsidP="00C9238F">
      <w:pPr>
        <w:spacing w:after="0" w:line="240" w:lineRule="auto"/>
      </w:pPr>
      <w:r>
        <w:separator/>
      </w:r>
    </w:p>
  </w:footnote>
  <w:footnote w:type="continuationSeparator" w:id="0">
    <w:p w14:paraId="46995812" w14:textId="77777777" w:rsidR="009B49CB" w:rsidRDefault="009B49C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4C4610B"/>
    <w:multiLevelType w:val="hybridMultilevel"/>
    <w:tmpl w:val="F360749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6071690">
    <w:abstractNumId w:val="13"/>
  </w:num>
  <w:num w:numId="2" w16cid:durableId="517429215">
    <w:abstractNumId w:val="8"/>
  </w:num>
  <w:num w:numId="3" w16cid:durableId="2822707">
    <w:abstractNumId w:val="17"/>
  </w:num>
  <w:num w:numId="4" w16cid:durableId="57558693">
    <w:abstractNumId w:val="14"/>
  </w:num>
  <w:num w:numId="5" w16cid:durableId="1440566588">
    <w:abstractNumId w:val="15"/>
  </w:num>
  <w:num w:numId="6" w16cid:durableId="419254236">
    <w:abstractNumId w:val="21"/>
  </w:num>
  <w:num w:numId="7" w16cid:durableId="998770980">
    <w:abstractNumId w:val="7"/>
  </w:num>
  <w:num w:numId="8" w16cid:durableId="1047031637">
    <w:abstractNumId w:val="12"/>
  </w:num>
  <w:num w:numId="9" w16cid:durableId="668749914">
    <w:abstractNumId w:val="19"/>
  </w:num>
  <w:num w:numId="10" w16cid:durableId="1625767826">
    <w:abstractNumId w:val="2"/>
  </w:num>
  <w:num w:numId="11" w16cid:durableId="796607183">
    <w:abstractNumId w:val="6"/>
  </w:num>
  <w:num w:numId="12" w16cid:durableId="1009719545">
    <w:abstractNumId w:val="1"/>
  </w:num>
  <w:num w:numId="13" w16cid:durableId="671880398">
    <w:abstractNumId w:val="3"/>
  </w:num>
  <w:num w:numId="14" w16cid:durableId="2015184315">
    <w:abstractNumId w:val="10"/>
  </w:num>
  <w:num w:numId="15" w16cid:durableId="50810577">
    <w:abstractNumId w:val="9"/>
  </w:num>
  <w:num w:numId="16" w16cid:durableId="1504010354">
    <w:abstractNumId w:val="18"/>
  </w:num>
  <w:num w:numId="17" w16cid:durableId="717631702">
    <w:abstractNumId w:val="4"/>
  </w:num>
  <w:num w:numId="18" w16cid:durableId="1055542680">
    <w:abstractNumId w:val="23"/>
  </w:num>
  <w:num w:numId="19" w16cid:durableId="635641040">
    <w:abstractNumId w:val="20"/>
  </w:num>
  <w:num w:numId="20" w16cid:durableId="1816872869">
    <w:abstractNumId w:val="16"/>
  </w:num>
  <w:num w:numId="21" w16cid:durableId="1300189447">
    <w:abstractNumId w:val="22"/>
  </w:num>
  <w:num w:numId="22" w16cid:durableId="1500535923">
    <w:abstractNumId w:val="5"/>
  </w:num>
  <w:num w:numId="23" w16cid:durableId="268005266">
    <w:abstractNumId w:val="0"/>
  </w:num>
  <w:num w:numId="24" w16cid:durableId="208876519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76BF1"/>
    <w:rsid w:val="00487D2D"/>
    <w:rsid w:val="00495528"/>
    <w:rsid w:val="004D5D62"/>
    <w:rsid w:val="004E5717"/>
    <w:rsid w:val="004F76A2"/>
    <w:rsid w:val="00502578"/>
    <w:rsid w:val="005112D0"/>
    <w:rsid w:val="00522B79"/>
    <w:rsid w:val="00567CEB"/>
    <w:rsid w:val="00576892"/>
    <w:rsid w:val="00577E06"/>
    <w:rsid w:val="005978CF"/>
    <w:rsid w:val="005A3BF7"/>
    <w:rsid w:val="005E19AD"/>
    <w:rsid w:val="005F2035"/>
    <w:rsid w:val="005F7990"/>
    <w:rsid w:val="0063739C"/>
    <w:rsid w:val="00770F25"/>
    <w:rsid w:val="00774C74"/>
    <w:rsid w:val="007A35A8"/>
    <w:rsid w:val="007B0A85"/>
    <w:rsid w:val="007C6A52"/>
    <w:rsid w:val="007D48D4"/>
    <w:rsid w:val="007E4956"/>
    <w:rsid w:val="0082043E"/>
    <w:rsid w:val="00852B20"/>
    <w:rsid w:val="00867810"/>
    <w:rsid w:val="00887812"/>
    <w:rsid w:val="00897670"/>
    <w:rsid w:val="008B0E32"/>
    <w:rsid w:val="008E203A"/>
    <w:rsid w:val="0091229C"/>
    <w:rsid w:val="00920221"/>
    <w:rsid w:val="00940E73"/>
    <w:rsid w:val="0098597D"/>
    <w:rsid w:val="009B49CB"/>
    <w:rsid w:val="009F619A"/>
    <w:rsid w:val="009F6DDE"/>
    <w:rsid w:val="009F77CA"/>
    <w:rsid w:val="00A1613A"/>
    <w:rsid w:val="00A26418"/>
    <w:rsid w:val="00A370A8"/>
    <w:rsid w:val="00A82A33"/>
    <w:rsid w:val="00AA4828"/>
    <w:rsid w:val="00AE05B6"/>
    <w:rsid w:val="00AF6BFE"/>
    <w:rsid w:val="00B814C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68EF"/>
    <w:rsid w:val="00DB3FAD"/>
    <w:rsid w:val="00E6176E"/>
    <w:rsid w:val="00E61C09"/>
    <w:rsid w:val="00EB3B58"/>
    <w:rsid w:val="00EC3F62"/>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title-text">
    <w:name w:val="title-text"/>
    <w:basedOn w:val="DefaultParagraphFont"/>
    <w:rsid w:val="005978CF"/>
  </w:style>
  <w:style w:type="character" w:customStyle="1" w:styleId="text">
    <w:name w:val="text"/>
    <w:basedOn w:val="DefaultParagraphFont"/>
    <w:rsid w:val="005978CF"/>
  </w:style>
  <w:style w:type="character" w:customStyle="1" w:styleId="author-ref">
    <w:name w:val="author-ref"/>
    <w:basedOn w:val="DefaultParagraphFont"/>
    <w:rsid w:val="005978CF"/>
  </w:style>
  <w:style w:type="character" w:styleId="Strong">
    <w:name w:val="Strong"/>
    <w:basedOn w:val="DefaultParagraphFont"/>
    <w:uiPriority w:val="22"/>
    <w:qFormat/>
    <w:rsid w:val="00D468EF"/>
    <w:rPr>
      <w:b/>
      <w:bCs/>
    </w:rPr>
  </w:style>
  <w:style w:type="paragraph" w:styleId="ListParagraph">
    <w:name w:val="List Paragraph"/>
    <w:basedOn w:val="Normal"/>
    <w:uiPriority w:val="1"/>
    <w:qFormat/>
    <w:rsid w:val="00AE05B6"/>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740526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2022-04-22T16:26:00Z</dcterms:created>
  <dcterms:modified xsi:type="dcterms:W3CDTF">2022-04-22T16:30:00Z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