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7"/>
        <w:gridCol w:w="2938"/>
        <w:gridCol w:w="1831"/>
        <w:gridCol w:w="3350"/>
      </w:tblGrid>
      <w:tr w:rsidR="00C9238F" w:rsidRPr="005E19AD" w14:paraId="104F9DBE" w14:textId="77777777" w:rsidTr="00493559">
        <w:tc>
          <w:tcPr>
            <w:tcW w:w="76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39" w:type="pct"/>
            <w:gridSpan w:val="3"/>
            <w:tcBorders>
              <w:bottom w:val="single" w:sz="4" w:space="0" w:color="auto"/>
            </w:tcBorders>
            <w:vAlign w:val="bottom"/>
          </w:tcPr>
          <w:p w14:paraId="76A41892" w14:textId="7A06BF21" w:rsidR="00C9238F" w:rsidRPr="00C333A6" w:rsidRDefault="005F00A9" w:rsidP="00711D0E">
            <w:pPr>
              <w:spacing w:line="240" w:lineRule="atLeast"/>
              <w:jc w:val="center"/>
              <w:rPr>
                <w:rFonts w:ascii="Times New Roman" w:hAnsi="Times New Roman" w:cs="Times New Roman"/>
              </w:rPr>
            </w:pPr>
            <w:hyperlink r:id="rId11" w:history="1">
              <w:r>
                <w:rPr>
                  <w:rStyle w:val="Hyperlink"/>
                  <w:rFonts w:ascii="Arial" w:hAnsi="Arial" w:cs="Arial"/>
                  <w:color w:val="1A0DAB"/>
                  <w:sz w:val="27"/>
                  <w:szCs w:val="27"/>
                  <w:shd w:val="clear" w:color="auto" w:fill="FFFFFF"/>
                </w:rPr>
                <w:t>Magnetohydrodynamic convective heat and mass transfer flow due to a rotating disk with thermal diffusion effect</w:t>
              </w:r>
            </w:hyperlink>
          </w:p>
        </w:tc>
      </w:tr>
      <w:tr w:rsidR="00C9238F" w:rsidRPr="005E19AD" w14:paraId="41B6DFDE" w14:textId="77777777" w:rsidTr="00493559">
        <w:tc>
          <w:tcPr>
            <w:tcW w:w="76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39" w:type="pct"/>
            <w:gridSpan w:val="3"/>
            <w:tcBorders>
              <w:bottom w:val="single" w:sz="4" w:space="0" w:color="auto"/>
            </w:tcBorders>
            <w:vAlign w:val="bottom"/>
          </w:tcPr>
          <w:p w14:paraId="4C3C55DD" w14:textId="55105706" w:rsidR="00C9238F" w:rsidRPr="005E19AD" w:rsidRDefault="005F00A9" w:rsidP="005F535F">
            <w:pPr>
              <w:spacing w:line="240" w:lineRule="atLeast"/>
              <w:jc w:val="center"/>
              <w:rPr>
                <w:rFonts w:ascii="Times New Roman" w:hAnsi="Times New Roman" w:cs="Times New Roman"/>
              </w:rPr>
            </w:pPr>
            <w:r>
              <w:rPr>
                <w:rFonts w:ascii="Times New Roman" w:hAnsi="Times New Roman" w:cs="Times New Roman"/>
              </w:rPr>
              <w:t>Kh. Abdul Maleque</w:t>
            </w:r>
          </w:p>
        </w:tc>
      </w:tr>
      <w:tr w:rsidR="00C9238F" w:rsidRPr="005E19AD" w14:paraId="1694AB7A" w14:textId="77777777" w:rsidTr="00493559">
        <w:tc>
          <w:tcPr>
            <w:tcW w:w="76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39" w:type="pct"/>
            <w:gridSpan w:val="3"/>
            <w:tcBorders>
              <w:bottom w:val="single" w:sz="4" w:space="0" w:color="auto"/>
            </w:tcBorders>
            <w:vAlign w:val="bottom"/>
          </w:tcPr>
          <w:p w14:paraId="5052E128" w14:textId="6C596C1F" w:rsidR="00C9238F" w:rsidRPr="005E19AD" w:rsidRDefault="005F00A9" w:rsidP="00576892">
            <w:pPr>
              <w:spacing w:before="240"/>
              <w:rPr>
                <w:rFonts w:ascii="Times New Roman" w:hAnsi="Times New Roman" w:cs="Times New Roman"/>
              </w:rPr>
            </w:pPr>
            <w:r>
              <w:rPr>
                <w:rFonts w:ascii="Times New Roman" w:hAnsi="Times New Roman" w:cs="Times New Roman"/>
              </w:rPr>
              <w:t>maleque@aiub.edu</w:t>
            </w:r>
          </w:p>
        </w:tc>
      </w:tr>
      <w:tr w:rsidR="00C9238F" w:rsidRPr="005E19AD" w14:paraId="3A03CA46" w14:textId="77777777" w:rsidTr="00493559">
        <w:tc>
          <w:tcPr>
            <w:tcW w:w="76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39" w:type="pct"/>
            <w:gridSpan w:val="3"/>
            <w:tcBorders>
              <w:bottom w:val="single" w:sz="4" w:space="0" w:color="auto"/>
            </w:tcBorders>
            <w:vAlign w:val="bottom"/>
          </w:tcPr>
          <w:p w14:paraId="22C9FD36" w14:textId="647F5746" w:rsidR="00C9238F" w:rsidRPr="005E19AD" w:rsidRDefault="005F00A9" w:rsidP="00576892">
            <w:pPr>
              <w:spacing w:before="240"/>
              <w:rPr>
                <w:rFonts w:ascii="Times New Roman" w:hAnsi="Times New Roman" w:cs="Times New Roman"/>
              </w:rPr>
            </w:pPr>
            <w:r>
              <w:rPr>
                <w:rFonts w:ascii="Arial" w:hAnsi="Arial" w:cs="Arial"/>
                <w:color w:val="222222"/>
                <w:sz w:val="20"/>
                <w:szCs w:val="20"/>
                <w:shd w:val="clear" w:color="auto" w:fill="FFFFFF"/>
              </w:rPr>
              <w:t>Journal of heat transfer</w:t>
            </w:r>
          </w:p>
        </w:tc>
      </w:tr>
      <w:tr w:rsidR="00010104" w:rsidRPr="005E19AD" w14:paraId="29260EEE" w14:textId="77777777" w:rsidTr="00493559">
        <w:tc>
          <w:tcPr>
            <w:tcW w:w="76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3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493559">
        <w:tc>
          <w:tcPr>
            <w:tcW w:w="76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534" w:type="pct"/>
            <w:tcBorders>
              <w:bottom w:val="single" w:sz="4" w:space="0" w:color="auto"/>
            </w:tcBorders>
            <w:vAlign w:val="bottom"/>
          </w:tcPr>
          <w:p w14:paraId="76051B5A" w14:textId="4FA0EDFD" w:rsidR="00576892" w:rsidRPr="005E19AD" w:rsidRDefault="005F00A9" w:rsidP="00576892">
            <w:pPr>
              <w:spacing w:before="240"/>
              <w:rPr>
                <w:rFonts w:ascii="Times New Roman" w:hAnsi="Times New Roman" w:cs="Times New Roman"/>
              </w:rPr>
            </w:pPr>
            <w:r>
              <w:rPr>
                <w:rFonts w:ascii="Times New Roman" w:hAnsi="Times New Roman" w:cs="Times New Roman"/>
              </w:rPr>
              <w:t>131</w:t>
            </w:r>
          </w:p>
        </w:tc>
        <w:tc>
          <w:tcPr>
            <w:tcW w:w="956"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50" w:type="pct"/>
            <w:tcBorders>
              <w:bottom w:val="single" w:sz="4" w:space="0" w:color="auto"/>
            </w:tcBorders>
            <w:vAlign w:val="bottom"/>
          </w:tcPr>
          <w:p w14:paraId="73C90383" w14:textId="6BD6D8DA" w:rsidR="00576892" w:rsidRPr="005E19AD" w:rsidRDefault="005F00A9" w:rsidP="00576892">
            <w:pPr>
              <w:spacing w:before="240"/>
              <w:rPr>
                <w:rFonts w:ascii="Times New Roman" w:hAnsi="Times New Roman" w:cs="Times New Roman"/>
              </w:rPr>
            </w:pPr>
            <w:r>
              <w:rPr>
                <w:rFonts w:ascii="Times New Roman" w:hAnsi="Times New Roman" w:cs="Times New Roman"/>
              </w:rPr>
              <w:t>8</w:t>
            </w:r>
          </w:p>
        </w:tc>
      </w:tr>
      <w:tr w:rsidR="00852B20" w:rsidRPr="005E19AD" w14:paraId="29A11658" w14:textId="77777777" w:rsidTr="00493559">
        <w:tc>
          <w:tcPr>
            <w:tcW w:w="76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39" w:type="pct"/>
            <w:gridSpan w:val="3"/>
            <w:tcBorders>
              <w:bottom w:val="single" w:sz="4" w:space="0" w:color="auto"/>
            </w:tcBorders>
            <w:vAlign w:val="bottom"/>
          </w:tcPr>
          <w:p w14:paraId="7C35739C" w14:textId="71758B19" w:rsidR="00852B20" w:rsidRPr="005E19AD" w:rsidRDefault="005F00A9" w:rsidP="003642E3">
            <w:pPr>
              <w:spacing w:before="240"/>
              <w:rPr>
                <w:rFonts w:ascii="Times New Roman" w:hAnsi="Times New Roman" w:cs="Times New Roman"/>
              </w:rPr>
            </w:pPr>
            <w:r>
              <w:rPr>
                <w:rFonts w:ascii="Arial" w:hAnsi="Arial" w:cs="Arial"/>
                <w:color w:val="222222"/>
                <w:sz w:val="20"/>
                <w:szCs w:val="20"/>
                <w:shd w:val="clear" w:color="auto" w:fill="FFFFFF"/>
              </w:rPr>
              <w:t>American Society of Mechanical Engineers Digital Collection</w:t>
            </w:r>
          </w:p>
        </w:tc>
      </w:tr>
      <w:tr w:rsidR="00852B20" w:rsidRPr="005E19AD" w14:paraId="0977BFEF" w14:textId="77777777" w:rsidTr="00493559">
        <w:tc>
          <w:tcPr>
            <w:tcW w:w="76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39" w:type="pct"/>
            <w:gridSpan w:val="3"/>
            <w:tcBorders>
              <w:bottom w:val="single" w:sz="4" w:space="0" w:color="auto"/>
            </w:tcBorders>
            <w:vAlign w:val="bottom"/>
          </w:tcPr>
          <w:p w14:paraId="663B3BF3" w14:textId="43C91B7B" w:rsidR="00852B20" w:rsidRPr="005E19AD" w:rsidRDefault="005F00A9" w:rsidP="003642E3">
            <w:pPr>
              <w:spacing w:before="240"/>
              <w:rPr>
                <w:rFonts w:ascii="Times New Roman" w:hAnsi="Times New Roman" w:cs="Times New Roman"/>
              </w:rPr>
            </w:pPr>
            <w:r>
              <w:rPr>
                <w:rFonts w:ascii="Arial" w:hAnsi="Arial" w:cs="Arial"/>
                <w:color w:val="222222"/>
                <w:sz w:val="20"/>
                <w:szCs w:val="20"/>
                <w:shd w:val="clear" w:color="auto" w:fill="FFFFFF"/>
              </w:rPr>
              <w:t>2009/8/1</w:t>
            </w:r>
          </w:p>
        </w:tc>
      </w:tr>
      <w:tr w:rsidR="00852B20" w:rsidRPr="005E19AD" w14:paraId="04C32390" w14:textId="77777777" w:rsidTr="00493559">
        <w:tc>
          <w:tcPr>
            <w:tcW w:w="76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39" w:type="pct"/>
            <w:gridSpan w:val="3"/>
            <w:tcBorders>
              <w:bottom w:val="single" w:sz="4" w:space="0" w:color="auto"/>
            </w:tcBorders>
            <w:vAlign w:val="bottom"/>
          </w:tcPr>
          <w:p w14:paraId="63378557" w14:textId="77777777" w:rsidR="00D53D0E" w:rsidRPr="00D53D0E" w:rsidRDefault="00D53D0E" w:rsidP="00D53D0E">
            <w:pPr>
              <w:shd w:val="clear" w:color="auto" w:fill="FFFFFF"/>
              <w:textAlignment w:val="baseline"/>
              <w:rPr>
                <w:rFonts w:ascii="Noto Sans" w:eastAsia="Times New Roman" w:hAnsi="Noto Sans" w:cs="Noto Sans"/>
                <w:color w:val="1A1A1A"/>
                <w:sz w:val="21"/>
                <w:szCs w:val="21"/>
              </w:rPr>
            </w:pPr>
            <w:r w:rsidRPr="00D53D0E">
              <w:rPr>
                <w:rFonts w:ascii="Noto Sans" w:eastAsia="Times New Roman" w:hAnsi="Noto Sans" w:cs="Noto Sans"/>
                <w:color w:val="1A1A1A"/>
                <w:sz w:val="21"/>
                <w:szCs w:val="21"/>
              </w:rPr>
              <w:t>ISSN 0022-1481</w:t>
            </w:r>
          </w:p>
          <w:p w14:paraId="395ECBF4" w14:textId="462B79B8" w:rsidR="00852B20" w:rsidRPr="00D53D0E" w:rsidRDefault="00D53D0E" w:rsidP="00D53D0E">
            <w:pPr>
              <w:shd w:val="clear" w:color="auto" w:fill="FFFFFF"/>
              <w:textAlignment w:val="baseline"/>
              <w:rPr>
                <w:rFonts w:ascii="Noto Sans" w:eastAsia="Times New Roman" w:hAnsi="Noto Sans" w:cs="Noto Sans"/>
                <w:color w:val="1A1A1A"/>
                <w:sz w:val="21"/>
                <w:szCs w:val="21"/>
              </w:rPr>
            </w:pPr>
            <w:r w:rsidRPr="00D53D0E">
              <w:rPr>
                <w:rFonts w:ascii="Noto Sans" w:eastAsia="Times New Roman" w:hAnsi="Noto Sans" w:cs="Noto Sans"/>
                <w:color w:val="1A1A1A"/>
                <w:sz w:val="21"/>
                <w:szCs w:val="21"/>
              </w:rPr>
              <w:t>EISSN 1528-8943</w:t>
            </w:r>
          </w:p>
        </w:tc>
      </w:tr>
      <w:tr w:rsidR="00852B20" w:rsidRPr="005E19AD" w14:paraId="6125C715" w14:textId="77777777" w:rsidTr="00493559">
        <w:tc>
          <w:tcPr>
            <w:tcW w:w="76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3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24C65A21" w:rsidR="00852B20" w:rsidRPr="00C333A6" w:rsidRDefault="0041417D" w:rsidP="00D53D0E">
            <w:pPr>
              <w:spacing w:beforeAutospacing="1" w:afterAutospacing="1"/>
              <w:rPr>
                <w:rFonts w:ascii="Times New Roman" w:hAnsi="Times New Roman" w:cs="Times New Roman"/>
              </w:rPr>
            </w:pPr>
            <w:hyperlink r:id="rId12" w:tgtFrame="_blank" w:history="1">
              <w:r>
                <w:rPr>
                  <w:rStyle w:val="Hyperlink"/>
                  <w:rFonts w:ascii="Segoe UI" w:hAnsi="Segoe UI" w:cs="Segoe UI"/>
                  <w:sz w:val="22"/>
                  <w:szCs w:val="22"/>
                  <w:bdr w:val="none" w:sz="0" w:space="0" w:color="auto" w:frame="1"/>
                  <w:shd w:val="clear" w:color="auto" w:fill="FFFFFF"/>
                </w:rPr>
                <w:t>http://dspace.aiub.edu:8080/jspui/handle/123456789/406</w:t>
              </w:r>
            </w:hyperlink>
            <w:r>
              <w:t xml:space="preserve"> </w:t>
            </w:r>
          </w:p>
        </w:tc>
      </w:tr>
      <w:tr w:rsidR="00C9238F" w:rsidRPr="005E19AD" w14:paraId="16A1DAEC" w14:textId="77777777" w:rsidTr="00493559">
        <w:tc>
          <w:tcPr>
            <w:tcW w:w="76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39" w:type="pct"/>
            <w:gridSpan w:val="3"/>
            <w:tcBorders>
              <w:bottom w:val="single" w:sz="4" w:space="0" w:color="auto"/>
            </w:tcBorders>
            <w:vAlign w:val="bottom"/>
          </w:tcPr>
          <w:p w14:paraId="6EF70C5A" w14:textId="3FCD9854" w:rsidR="00C9238F" w:rsidRPr="005E19AD" w:rsidRDefault="00203F5D" w:rsidP="00576892">
            <w:pPr>
              <w:spacing w:before="240"/>
              <w:rPr>
                <w:rFonts w:ascii="Times New Roman" w:hAnsi="Times New Roman" w:cs="Times New Roman"/>
              </w:rPr>
            </w:pPr>
            <w:r w:rsidRPr="00203F5D">
              <w:rPr>
                <w:rFonts w:ascii="Times New Roman" w:hAnsi="Times New Roman" w:cs="Times New Roman"/>
              </w:rPr>
              <w:t>https://scholar.google.com/citations?view_op=view_citation&amp;hl=en&amp;user=UhkxgEQAAAAJ&amp;citation_for_view=UhkxgEQAAAAJ:ufrVoPGSRksC</w:t>
            </w:r>
          </w:p>
        </w:tc>
      </w:tr>
      <w:tr w:rsidR="00852B20" w:rsidRPr="005E19AD" w14:paraId="204EC2C6" w14:textId="77777777" w:rsidTr="00493559">
        <w:tc>
          <w:tcPr>
            <w:tcW w:w="76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23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493559">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04B0CC1" w14:textId="70701178" w:rsidR="00852B20" w:rsidRPr="005E19AD" w:rsidRDefault="00D73121" w:rsidP="00576892">
            <w:pPr>
              <w:rPr>
                <w:rFonts w:ascii="Times New Roman" w:hAnsi="Times New Roman" w:cs="Times New Roman"/>
              </w:rPr>
            </w:pPr>
            <w:r>
              <w:rPr>
                <w:rFonts w:ascii="Arial" w:hAnsi="Arial" w:cs="Arial"/>
                <w:color w:val="222222"/>
                <w:sz w:val="20"/>
                <w:szCs w:val="20"/>
                <w:shd w:val="clear" w:color="auto" w:fill="FFFFFF"/>
              </w:rPr>
              <w:t xml:space="preserve">Considering the importance of mass transfer in a magnetohydrodynamic (MHD) convective flow, a numerical solution is obtained for a steady three-dimensional MHD convective mass transfer flow in an incompressible fluid due to a rotating disk with thermal diffusion. The governing partial differential equations of the MHD convective mass transfer flow are reduced to nonlinear ordinary differential equations by introducing suitable similarity transformations. The nonlinear similarity equations are then solved numerically by </w:t>
            </w:r>
            <w:proofErr w:type="spellStart"/>
            <w:r>
              <w:rPr>
                <w:rFonts w:ascii="Arial" w:hAnsi="Arial" w:cs="Arial"/>
                <w:color w:val="222222"/>
                <w:sz w:val="20"/>
                <w:szCs w:val="20"/>
                <w:shd w:val="clear" w:color="auto" w:fill="FFFFFF"/>
              </w:rPr>
              <w:t>Nachtsheim</w:t>
            </w:r>
            <w:proofErr w:type="spellEnd"/>
            <w:r>
              <w:rPr>
                <w:rFonts w:ascii="Arial" w:hAnsi="Arial" w:cs="Arial"/>
                <w:color w:val="222222"/>
                <w:sz w:val="20"/>
                <w:szCs w:val="20"/>
                <w:shd w:val="clear" w:color="auto" w:fill="FFFFFF"/>
              </w:rPr>
              <w:t>–Swigert iteration technique. The results of the numerical solution are then presented graphically in the form of velocity, temperature, and concentration profiles. The corresponding skin-friction coefficients, the Nusselt number, and the Sherwood number are also calculated and displayed in tables showing the effects of various parameters on them. A good comparison between the …</w:t>
            </w: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DB37" w14:textId="77777777" w:rsidR="004C3CEF" w:rsidRDefault="004C3CEF" w:rsidP="00C9238F">
      <w:pPr>
        <w:spacing w:after="0" w:line="240" w:lineRule="auto"/>
      </w:pPr>
      <w:r>
        <w:separator/>
      </w:r>
    </w:p>
  </w:endnote>
  <w:endnote w:type="continuationSeparator" w:id="0">
    <w:p w14:paraId="636CD941" w14:textId="77777777" w:rsidR="004C3CEF" w:rsidRDefault="004C3CE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F95C56-E9AD-4925-9376-ADABBFFF7515}"/>
    <w:embedBold r:id="rId2" w:fontKey="{704A0E2B-4013-464B-A373-10C80FC06CA1}"/>
    <w:embedItalic r:id="rId3" w:fontKey="{216AB7FF-7B5A-4783-B6C3-C61C420F4357}"/>
    <w:embedBoldItalic r:id="rId4" w:fontKey="{899DF510-E8B7-44EA-B395-26B110162948}"/>
  </w:font>
  <w:font w:name="Corbel">
    <w:panose1 w:val="020B0503020204020204"/>
    <w:charset w:val="00"/>
    <w:family w:val="swiss"/>
    <w:pitch w:val="variable"/>
    <w:sig w:usb0="A00002EF" w:usb1="4000A44B" w:usb2="00000000" w:usb3="00000000" w:csb0="0000019F" w:csb1="00000000"/>
    <w:embedRegular r:id="rId5" w:fontKey="{06B6F253-6760-49B1-987D-21B3625DE363}"/>
    <w:embedBold r:id="rId6" w:fontKey="{A007834E-CA0E-4167-A419-DFFE446EB7F1}"/>
    <w:embedItalic r:id="rId7" w:fontKey="{2C9A4CBE-F933-432D-9B27-AFCDC6D6FDD0}"/>
  </w:font>
  <w:font w:name="Consolas">
    <w:panose1 w:val="020B0609020204030204"/>
    <w:charset w:val="00"/>
    <w:family w:val="modern"/>
    <w:pitch w:val="fixed"/>
    <w:sig w:usb0="E00006FF" w:usb1="0000FCFF" w:usb2="00000001" w:usb3="00000000" w:csb0="0000019F" w:csb1="00000000"/>
    <w:embedRegular r:id="rId8" w:fontKey="{10653E13-AF82-4937-A13F-5278081783B4}"/>
  </w:font>
  <w:font w:name="Tahoma">
    <w:panose1 w:val="020B0604030504040204"/>
    <w:charset w:val="00"/>
    <w:family w:val="swiss"/>
    <w:pitch w:val="variable"/>
    <w:sig w:usb0="E1002EFF" w:usb1="C000605B" w:usb2="00000029" w:usb3="00000000" w:csb0="000101FF" w:csb1="00000000"/>
    <w:embedRegular r:id="rId9" w:fontKey="{1A4BC353-9705-4A76-BBB7-804C801D0153}"/>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0" w:fontKey="{D78636B5-94A4-4AF8-9BBD-84F8E249A0E0}"/>
  </w:font>
  <w:font w:name="Open Sans">
    <w:altName w:val="Open Sans"/>
    <w:charset w:val="00"/>
    <w:family w:val="swiss"/>
    <w:pitch w:val="variable"/>
    <w:sig w:usb0="E00002EF" w:usb1="4000205B" w:usb2="00000028" w:usb3="00000000" w:csb0="0000019F" w:csb1="00000000"/>
    <w:embedRegular r:id="rId11" w:fontKey="{52A0AC20-D304-459E-8C53-2358A222CFA5}"/>
  </w:font>
  <w:font w:name="Segoe UI">
    <w:panose1 w:val="020B0502040204020203"/>
    <w:charset w:val="00"/>
    <w:family w:val="swiss"/>
    <w:pitch w:val="variable"/>
    <w:sig w:usb0="E4002EFF" w:usb1="C000E47F" w:usb2="00000009" w:usb3="00000000" w:csb0="000001FF" w:csb1="00000000"/>
    <w:embedRegular r:id="rId12" w:fontKey="{A146FCC7-BDF1-4E0D-830F-FE5DCA561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5F535F">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5F535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3E7FD" w14:textId="77777777" w:rsidR="004C3CEF" w:rsidRDefault="004C3CEF" w:rsidP="00C9238F">
      <w:pPr>
        <w:spacing w:after="0" w:line="240" w:lineRule="auto"/>
      </w:pPr>
      <w:r>
        <w:separator/>
      </w:r>
    </w:p>
  </w:footnote>
  <w:footnote w:type="continuationSeparator" w:id="0">
    <w:p w14:paraId="29BDCDA1" w14:textId="77777777" w:rsidR="004C3CEF" w:rsidRDefault="004C3CE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0738889">
    <w:abstractNumId w:val="13"/>
  </w:num>
  <w:num w:numId="2" w16cid:durableId="2094624049">
    <w:abstractNumId w:val="9"/>
  </w:num>
  <w:num w:numId="3" w16cid:durableId="2135830226">
    <w:abstractNumId w:val="18"/>
  </w:num>
  <w:num w:numId="4" w16cid:durableId="285090544">
    <w:abstractNumId w:val="14"/>
  </w:num>
  <w:num w:numId="5" w16cid:durableId="68311374">
    <w:abstractNumId w:val="15"/>
  </w:num>
  <w:num w:numId="6" w16cid:durableId="1506823016">
    <w:abstractNumId w:val="22"/>
  </w:num>
  <w:num w:numId="7" w16cid:durableId="1669016963">
    <w:abstractNumId w:val="8"/>
  </w:num>
  <w:num w:numId="8" w16cid:durableId="1786926687">
    <w:abstractNumId w:val="12"/>
  </w:num>
  <w:num w:numId="9" w16cid:durableId="1433429448">
    <w:abstractNumId w:val="20"/>
  </w:num>
  <w:num w:numId="10" w16cid:durableId="169024361">
    <w:abstractNumId w:val="2"/>
  </w:num>
  <w:num w:numId="11" w16cid:durableId="1628970177">
    <w:abstractNumId w:val="7"/>
  </w:num>
  <w:num w:numId="12" w16cid:durableId="197090705">
    <w:abstractNumId w:val="1"/>
  </w:num>
  <w:num w:numId="13" w16cid:durableId="1267926220">
    <w:abstractNumId w:val="3"/>
  </w:num>
  <w:num w:numId="14" w16cid:durableId="298266285">
    <w:abstractNumId w:val="11"/>
  </w:num>
  <w:num w:numId="15" w16cid:durableId="2074154771">
    <w:abstractNumId w:val="10"/>
  </w:num>
  <w:num w:numId="16" w16cid:durableId="594098040">
    <w:abstractNumId w:val="19"/>
  </w:num>
  <w:num w:numId="17" w16cid:durableId="82068065">
    <w:abstractNumId w:val="4"/>
  </w:num>
  <w:num w:numId="18" w16cid:durableId="1013219049">
    <w:abstractNumId w:val="24"/>
  </w:num>
  <w:num w:numId="19" w16cid:durableId="839077733">
    <w:abstractNumId w:val="21"/>
  </w:num>
  <w:num w:numId="20" w16cid:durableId="1675838802">
    <w:abstractNumId w:val="16"/>
  </w:num>
  <w:num w:numId="21" w16cid:durableId="972638749">
    <w:abstractNumId w:val="23"/>
  </w:num>
  <w:num w:numId="22" w16cid:durableId="1732117068">
    <w:abstractNumId w:val="6"/>
  </w:num>
  <w:num w:numId="23" w16cid:durableId="2105221517">
    <w:abstractNumId w:val="0"/>
  </w:num>
  <w:num w:numId="24" w16cid:durableId="2127238895">
    <w:abstractNumId w:val="17"/>
  </w:num>
  <w:num w:numId="25" w16cid:durableId="12405966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DisplayPageBoundaries/>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B87"/>
    <w:rsid w:val="000D0A38"/>
    <w:rsid w:val="000D1F49"/>
    <w:rsid w:val="000D68B9"/>
    <w:rsid w:val="00110BAB"/>
    <w:rsid w:val="001727CA"/>
    <w:rsid w:val="001F5CF8"/>
    <w:rsid w:val="00203F5D"/>
    <w:rsid w:val="002757A8"/>
    <w:rsid w:val="002C56E6"/>
    <w:rsid w:val="002D3238"/>
    <w:rsid w:val="00361E11"/>
    <w:rsid w:val="003642E3"/>
    <w:rsid w:val="003A4094"/>
    <w:rsid w:val="003F0847"/>
    <w:rsid w:val="0040090B"/>
    <w:rsid w:val="0041417D"/>
    <w:rsid w:val="00421017"/>
    <w:rsid w:val="0046302A"/>
    <w:rsid w:val="00487D2D"/>
    <w:rsid w:val="00493559"/>
    <w:rsid w:val="004C3CEF"/>
    <w:rsid w:val="004D5D62"/>
    <w:rsid w:val="004E5717"/>
    <w:rsid w:val="004F76A2"/>
    <w:rsid w:val="005112D0"/>
    <w:rsid w:val="00522B79"/>
    <w:rsid w:val="00576892"/>
    <w:rsid w:val="00577E06"/>
    <w:rsid w:val="005A3BF7"/>
    <w:rsid w:val="005A7CAA"/>
    <w:rsid w:val="005E19AD"/>
    <w:rsid w:val="005E1EB9"/>
    <w:rsid w:val="005F00A9"/>
    <w:rsid w:val="005F2035"/>
    <w:rsid w:val="005F535F"/>
    <w:rsid w:val="005F7990"/>
    <w:rsid w:val="0063739C"/>
    <w:rsid w:val="00711D0E"/>
    <w:rsid w:val="00770F25"/>
    <w:rsid w:val="00774C74"/>
    <w:rsid w:val="007A35A8"/>
    <w:rsid w:val="007B0A85"/>
    <w:rsid w:val="007C6A52"/>
    <w:rsid w:val="007D452E"/>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035C"/>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53D0E"/>
    <w:rsid w:val="00D73121"/>
    <w:rsid w:val="00DB3FAD"/>
    <w:rsid w:val="00E61C09"/>
    <w:rsid w:val="00EB3B58"/>
    <w:rsid w:val="00EC7359"/>
    <w:rsid w:val="00EE3054"/>
    <w:rsid w:val="00F00606"/>
    <w:rsid w:val="00F01256"/>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UnresolvedMention">
    <w:name w:val="Unresolved Mention"/>
    <w:basedOn w:val="DefaultParagraphFont"/>
    <w:uiPriority w:val="99"/>
    <w:semiHidden/>
    <w:unhideWhenUsed/>
    <w:rsid w:val="000B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6382">
      <w:bodyDiv w:val="1"/>
      <w:marLeft w:val="0"/>
      <w:marRight w:val="0"/>
      <w:marTop w:val="0"/>
      <w:marBottom w:val="0"/>
      <w:divBdr>
        <w:top w:val="none" w:sz="0" w:space="0" w:color="auto"/>
        <w:left w:val="none" w:sz="0" w:space="0" w:color="auto"/>
        <w:bottom w:val="none" w:sz="0" w:space="0" w:color="auto"/>
        <w:right w:val="none" w:sz="0" w:space="0" w:color="auto"/>
      </w:divBdr>
      <w:divsChild>
        <w:div w:id="499271356">
          <w:marLeft w:val="0"/>
          <w:marRight w:val="0"/>
          <w:marTop w:val="0"/>
          <w:marBottom w:val="0"/>
          <w:divBdr>
            <w:top w:val="none" w:sz="0" w:space="0" w:color="auto"/>
            <w:left w:val="none" w:sz="0" w:space="0" w:color="auto"/>
            <w:bottom w:val="none" w:sz="0" w:space="0" w:color="auto"/>
            <w:right w:val="none" w:sz="0" w:space="0" w:color="auto"/>
          </w:divBdr>
        </w:div>
        <w:div w:id="618990760">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dspace.aiub.edu:8080/jspui/handle/123456789/406"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medigitalcollection.asme.org/heattransfer/article-abstract/131/8/082001/45847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41328DA0-F3A3-4293-BC14-BFD5B437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2022-04-19T03:32:00Z</dcterms:created>
  <dcterms:modified xsi:type="dcterms:W3CDTF">2022-04-24T14:13:00Z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