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02"/>
        <w:gridCol w:w="1685"/>
        <w:gridCol w:w="3134"/>
      </w:tblGrid>
      <w:tr w:rsidR="00C9238F" w:rsidRPr="005E19AD" w14:paraId="104F9DBE" w14:textId="77777777" w:rsidTr="00A1721B">
        <w:tc>
          <w:tcPr>
            <w:tcW w:w="76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31" w:type="pct"/>
            <w:gridSpan w:val="3"/>
            <w:vAlign w:val="bottom"/>
          </w:tcPr>
          <w:p w14:paraId="76A41892" w14:textId="00A6CD09" w:rsidR="00C9238F" w:rsidRPr="00C333A6" w:rsidRDefault="00CC3539" w:rsidP="00576892">
            <w:pPr>
              <w:spacing w:before="240"/>
              <w:rPr>
                <w:rFonts w:ascii="Times New Roman" w:hAnsi="Times New Roman" w:cs="Times New Roman"/>
              </w:rPr>
            </w:pPr>
            <w:r w:rsidRPr="00CC3539">
              <w:rPr>
                <w:rFonts w:ascii="Times New Roman" w:hAnsi="Times New Roman" w:cs="Times New Roman"/>
              </w:rPr>
              <w:t>Arsenic Contamination in Bangladesh – an Overview</w:t>
            </w:r>
            <w:r w:rsidR="00263D75" w:rsidRPr="00263D75">
              <w:rPr>
                <w:rFonts w:ascii="Times New Roman" w:hAnsi="Times New Roman" w:cs="Times New Roman"/>
              </w:rPr>
              <w:t>.</w:t>
            </w:r>
          </w:p>
        </w:tc>
      </w:tr>
      <w:tr w:rsidR="00C9238F" w:rsidRPr="005E19AD" w14:paraId="41B6DFDE" w14:textId="77777777" w:rsidTr="00A1721B">
        <w:tc>
          <w:tcPr>
            <w:tcW w:w="769"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31" w:type="pct"/>
            <w:gridSpan w:val="3"/>
            <w:vAlign w:val="bottom"/>
          </w:tcPr>
          <w:p w14:paraId="4C3C55DD" w14:textId="1E7CA108" w:rsidR="00C9238F" w:rsidRPr="005E19AD" w:rsidRDefault="00CC3539" w:rsidP="005E19AD">
            <w:pPr>
              <w:spacing w:before="240"/>
              <w:rPr>
                <w:rFonts w:ascii="Times New Roman" w:hAnsi="Times New Roman" w:cs="Times New Roman"/>
              </w:rPr>
            </w:pPr>
            <w:r w:rsidRPr="00CC3539">
              <w:rPr>
                <w:rFonts w:ascii="Times New Roman" w:hAnsi="Times New Roman" w:cs="Times New Roman"/>
              </w:rPr>
              <w:t>M.F. Hossain</w:t>
            </w:r>
          </w:p>
        </w:tc>
      </w:tr>
      <w:tr w:rsidR="00C9238F" w:rsidRPr="005E19AD" w14:paraId="1694AB7A" w14:textId="77777777" w:rsidTr="00A1721B">
        <w:tc>
          <w:tcPr>
            <w:tcW w:w="769"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31" w:type="pct"/>
            <w:gridSpan w:val="3"/>
            <w:vAlign w:val="bottom"/>
          </w:tcPr>
          <w:p w14:paraId="5052E128" w14:textId="324CAA23" w:rsidR="00C9238F" w:rsidRPr="005E19AD" w:rsidRDefault="00980CEF" w:rsidP="00576892">
            <w:pPr>
              <w:spacing w:before="240"/>
              <w:rPr>
                <w:rFonts w:ascii="Times New Roman" w:hAnsi="Times New Roman" w:cs="Times New Roman"/>
              </w:rPr>
            </w:pPr>
            <w:r w:rsidRPr="00980CEF">
              <w:rPr>
                <w:rFonts w:ascii="Times New Roman" w:hAnsi="Times New Roman" w:cs="Times New Roman"/>
              </w:rPr>
              <w:t>hossainfaruque@hotmail.com, faruque.hossain@CCRS.NRCan.gc.ca</w:t>
            </w:r>
          </w:p>
        </w:tc>
      </w:tr>
      <w:tr w:rsidR="00C9238F" w:rsidRPr="005E19AD" w14:paraId="3A03CA46" w14:textId="77777777" w:rsidTr="00A1721B">
        <w:tc>
          <w:tcPr>
            <w:tcW w:w="769"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31" w:type="pct"/>
            <w:gridSpan w:val="3"/>
            <w:vAlign w:val="bottom"/>
          </w:tcPr>
          <w:p w14:paraId="22C9FD36" w14:textId="23A9E989" w:rsidR="00C9238F" w:rsidRPr="005E19AD" w:rsidRDefault="0053232F" w:rsidP="00576892">
            <w:pPr>
              <w:spacing w:before="240"/>
              <w:rPr>
                <w:rFonts w:ascii="Times New Roman" w:hAnsi="Times New Roman" w:cs="Times New Roman"/>
              </w:rPr>
            </w:pPr>
            <w:r w:rsidRPr="0053232F">
              <w:rPr>
                <w:rFonts w:ascii="Times New Roman" w:hAnsi="Times New Roman" w:cs="Times New Roman"/>
              </w:rPr>
              <w:t>Agriculture Ecosystems &amp; Environment</w:t>
            </w:r>
          </w:p>
        </w:tc>
      </w:tr>
      <w:tr w:rsidR="00010104" w:rsidRPr="005E19AD" w14:paraId="29260EEE" w14:textId="77777777" w:rsidTr="00A1721B">
        <w:tc>
          <w:tcPr>
            <w:tcW w:w="769"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31"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A1721B">
        <w:tc>
          <w:tcPr>
            <w:tcW w:w="769"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57" w:type="pct"/>
            <w:vAlign w:val="bottom"/>
          </w:tcPr>
          <w:p w14:paraId="76051B5A" w14:textId="031C6610" w:rsidR="00576892" w:rsidRPr="005E19AD" w:rsidRDefault="00F9272C" w:rsidP="00576892">
            <w:pPr>
              <w:spacing w:before="240"/>
              <w:rPr>
                <w:rFonts w:ascii="Times New Roman" w:hAnsi="Times New Roman" w:cs="Times New Roman"/>
              </w:rPr>
            </w:pPr>
            <w:r>
              <w:rPr>
                <w:rFonts w:ascii="Times New Roman" w:hAnsi="Times New Roman" w:cs="Times New Roman"/>
              </w:rPr>
              <w:t>113</w:t>
            </w:r>
          </w:p>
        </w:tc>
        <w:tc>
          <w:tcPr>
            <w:tcW w:w="900"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74" w:type="pct"/>
            <w:vAlign w:val="bottom"/>
          </w:tcPr>
          <w:p w14:paraId="73C90383" w14:textId="2FCF6771" w:rsidR="00576892" w:rsidRPr="005E19AD" w:rsidRDefault="00F9272C" w:rsidP="00576892">
            <w:pPr>
              <w:spacing w:before="240"/>
              <w:rPr>
                <w:rFonts w:ascii="Times New Roman" w:hAnsi="Times New Roman" w:cs="Times New Roman"/>
              </w:rPr>
            </w:pPr>
            <w:r>
              <w:rPr>
                <w:rFonts w:ascii="Times New Roman" w:hAnsi="Times New Roman" w:cs="Times New Roman"/>
              </w:rPr>
              <w:t>1-4</w:t>
            </w:r>
          </w:p>
        </w:tc>
      </w:tr>
      <w:tr w:rsidR="00852B20" w:rsidRPr="005E19AD" w14:paraId="29A11658" w14:textId="77777777" w:rsidTr="00A1721B">
        <w:tc>
          <w:tcPr>
            <w:tcW w:w="769"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4231" w:type="pct"/>
            <w:gridSpan w:val="3"/>
            <w:vAlign w:val="bottom"/>
          </w:tcPr>
          <w:p w14:paraId="7C35739C" w14:textId="4135774E" w:rsidR="00852B20" w:rsidRPr="005E19AD" w:rsidRDefault="00807A35"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A1721B">
        <w:tc>
          <w:tcPr>
            <w:tcW w:w="769"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31" w:type="pct"/>
            <w:gridSpan w:val="3"/>
            <w:vAlign w:val="bottom"/>
          </w:tcPr>
          <w:p w14:paraId="663B3BF3" w14:textId="66BA671D" w:rsidR="00852B20" w:rsidRPr="005E19AD" w:rsidRDefault="00F9272C" w:rsidP="00576892">
            <w:pPr>
              <w:spacing w:before="240"/>
              <w:rPr>
                <w:rFonts w:ascii="Times New Roman" w:hAnsi="Times New Roman" w:cs="Times New Roman"/>
              </w:rPr>
            </w:pPr>
            <w:r>
              <w:rPr>
                <w:rFonts w:ascii="Times New Roman" w:hAnsi="Times New Roman" w:cs="Times New Roman"/>
              </w:rPr>
              <w:t>April</w:t>
            </w:r>
            <w:r w:rsidR="001C7EE3" w:rsidRPr="001C7EE3">
              <w:rPr>
                <w:rFonts w:ascii="Times New Roman" w:hAnsi="Times New Roman" w:cs="Times New Roman"/>
              </w:rPr>
              <w:t xml:space="preserve">, </w:t>
            </w:r>
            <w:r>
              <w:rPr>
                <w:rFonts w:ascii="Times New Roman" w:hAnsi="Times New Roman" w:cs="Times New Roman"/>
              </w:rPr>
              <w:t>2006</w:t>
            </w:r>
          </w:p>
        </w:tc>
      </w:tr>
      <w:tr w:rsidR="00852B20" w:rsidRPr="005E19AD" w14:paraId="04C32390" w14:textId="77777777" w:rsidTr="00A1721B">
        <w:tc>
          <w:tcPr>
            <w:tcW w:w="769"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31" w:type="pct"/>
            <w:gridSpan w:val="3"/>
            <w:vAlign w:val="bottom"/>
          </w:tcPr>
          <w:p w14:paraId="395ECBF4" w14:textId="10C759A5" w:rsidR="00852B20" w:rsidRPr="005E19AD" w:rsidRDefault="00A44F41" w:rsidP="00576892">
            <w:pPr>
              <w:spacing w:before="240"/>
              <w:rPr>
                <w:rFonts w:ascii="Times New Roman" w:hAnsi="Times New Roman" w:cs="Times New Roman"/>
              </w:rPr>
            </w:pPr>
            <w:r w:rsidRPr="00A44F41">
              <w:rPr>
                <w:rFonts w:ascii="Times New Roman" w:hAnsi="Times New Roman" w:cs="Times New Roman"/>
              </w:rPr>
              <w:t>0167-8809</w:t>
            </w:r>
          </w:p>
        </w:tc>
      </w:tr>
      <w:tr w:rsidR="00852B20" w:rsidRPr="005E19AD" w14:paraId="6125C715" w14:textId="77777777" w:rsidTr="00A1721B">
        <w:tc>
          <w:tcPr>
            <w:tcW w:w="769"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31" w:type="pct"/>
            <w:gridSpan w:val="3"/>
            <w:vAlign w:val="bottom"/>
          </w:tcPr>
          <w:p w14:paraId="6A80901E" w14:textId="725D6BC8" w:rsidR="00852B20" w:rsidRPr="00C333A6" w:rsidRDefault="00CC3539" w:rsidP="00C333A6">
            <w:pPr>
              <w:spacing w:before="240"/>
              <w:rPr>
                <w:rFonts w:ascii="Times New Roman" w:hAnsi="Times New Roman" w:cs="Times New Roman"/>
              </w:rPr>
            </w:pPr>
            <w:r w:rsidRPr="00CC3539">
              <w:rPr>
                <w:rFonts w:ascii="Times New Roman" w:hAnsi="Times New Roman" w:cs="Times New Roman"/>
              </w:rPr>
              <w:t>https://doi.org/10.1016/j.agee.2005.08.034</w:t>
            </w:r>
          </w:p>
        </w:tc>
      </w:tr>
      <w:tr w:rsidR="00C9238F" w:rsidRPr="005E19AD" w14:paraId="16A1DAEC" w14:textId="77777777" w:rsidTr="00A1721B">
        <w:tc>
          <w:tcPr>
            <w:tcW w:w="769"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31" w:type="pct"/>
            <w:gridSpan w:val="3"/>
            <w:vAlign w:val="bottom"/>
          </w:tcPr>
          <w:p w14:paraId="6EF70C5A" w14:textId="78C7FA80" w:rsidR="00C9238F" w:rsidRPr="005E19AD" w:rsidRDefault="00CC3539" w:rsidP="00576892">
            <w:pPr>
              <w:spacing w:before="240"/>
              <w:rPr>
                <w:rFonts w:ascii="Times New Roman" w:hAnsi="Times New Roman" w:cs="Times New Roman"/>
              </w:rPr>
            </w:pPr>
            <w:r w:rsidRPr="00CC3539">
              <w:rPr>
                <w:rFonts w:ascii="Times New Roman" w:hAnsi="Times New Roman" w:cs="Times New Roman"/>
              </w:rPr>
              <w:t>https://www.sciencedirect.com/science/article/abs/pii/S0167880905004329?via%3Dihub</w:t>
            </w:r>
          </w:p>
        </w:tc>
      </w:tr>
      <w:tr w:rsidR="00852B20" w:rsidRPr="005E19AD" w14:paraId="204EC2C6" w14:textId="77777777" w:rsidTr="00A1721B">
        <w:tc>
          <w:tcPr>
            <w:tcW w:w="769"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4231" w:type="pct"/>
            <w:gridSpan w:val="3"/>
            <w:vAlign w:val="bottom"/>
          </w:tcPr>
          <w:p w14:paraId="0933B90C" w14:textId="41D277A9" w:rsidR="00852B20" w:rsidRPr="005E19AD" w:rsidRDefault="001C7EE3" w:rsidP="00576892">
            <w:pPr>
              <w:spacing w:before="240"/>
              <w:rPr>
                <w:rFonts w:ascii="Times New Roman" w:hAnsi="Times New Roman" w:cs="Times New Roman"/>
              </w:rPr>
            </w:pPr>
            <w:r w:rsidRPr="001C7EE3">
              <w:rPr>
                <w:rFonts w:ascii="Times New Roman" w:hAnsi="Times New Roman" w:cs="Times New Roman"/>
              </w:rPr>
              <w:t xml:space="preserve">Page </w:t>
            </w:r>
            <w:r w:rsidR="00A6153C">
              <w:rPr>
                <w:rFonts w:ascii="Times New Roman" w:hAnsi="Times New Roman" w:cs="Times New Roman"/>
              </w:rPr>
              <w:t>1-16</w:t>
            </w:r>
          </w:p>
        </w:tc>
      </w:tr>
      <w:tr w:rsidR="00C9238F" w:rsidRPr="005E19AD" w14:paraId="0B169241" w14:textId="77777777" w:rsidTr="00A1721B">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470ABFD1"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5014C2" w:rsidRPr="005014C2">
              <w:rPr>
                <w:rFonts w:ascii="Times New Roman" w:hAnsi="Times New Roman" w:cs="Times New Roman"/>
                <w:bCs/>
              </w:rPr>
              <w:t>Arsenic (As)</w:t>
            </w:r>
            <w:r w:rsidR="00300623">
              <w:rPr>
                <w:rFonts w:ascii="Times New Roman" w:hAnsi="Times New Roman" w:cs="Times New Roman"/>
                <w:bCs/>
              </w:rPr>
              <w:t xml:space="preserve">; </w:t>
            </w:r>
            <w:r w:rsidR="005014C2" w:rsidRPr="005014C2">
              <w:rPr>
                <w:rFonts w:ascii="Times New Roman" w:hAnsi="Times New Roman" w:cs="Times New Roman"/>
                <w:bCs/>
              </w:rPr>
              <w:t>Contamination</w:t>
            </w:r>
            <w:r w:rsidR="00300623">
              <w:rPr>
                <w:rFonts w:ascii="Times New Roman" w:hAnsi="Times New Roman" w:cs="Times New Roman"/>
                <w:bCs/>
              </w:rPr>
              <w:t xml:space="preserve">; </w:t>
            </w:r>
            <w:r w:rsidR="005014C2" w:rsidRPr="005014C2">
              <w:rPr>
                <w:rFonts w:ascii="Times New Roman" w:hAnsi="Times New Roman" w:cs="Times New Roman"/>
                <w:bCs/>
              </w:rPr>
              <w:t>Soils</w:t>
            </w:r>
            <w:r w:rsidR="00300623">
              <w:rPr>
                <w:rFonts w:ascii="Times New Roman" w:hAnsi="Times New Roman" w:cs="Times New Roman"/>
                <w:bCs/>
              </w:rPr>
              <w:t xml:space="preserve">; </w:t>
            </w:r>
            <w:r w:rsidR="005014C2" w:rsidRPr="005014C2">
              <w:rPr>
                <w:rFonts w:ascii="Times New Roman" w:hAnsi="Times New Roman" w:cs="Times New Roman"/>
                <w:bCs/>
              </w:rPr>
              <w:t>Water</w:t>
            </w:r>
            <w:r w:rsidR="0053232F">
              <w:rPr>
                <w:rFonts w:ascii="Times New Roman" w:hAnsi="Times New Roman" w:cs="Times New Roman"/>
                <w:bCs/>
              </w:rPr>
              <w:t xml:space="preserve">; </w:t>
            </w:r>
            <w:r w:rsidR="005014C2" w:rsidRPr="005014C2">
              <w:rPr>
                <w:rFonts w:ascii="Times New Roman" w:hAnsi="Times New Roman" w:cs="Times New Roman"/>
                <w:bCs/>
              </w:rPr>
              <w:t>Plants</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A1721B">
        <w:trPr>
          <w:trHeight w:val="54"/>
        </w:trPr>
        <w:tc>
          <w:tcPr>
            <w:tcW w:w="5000" w:type="pct"/>
            <w:gridSpan w:val="4"/>
            <w:shd w:val="clear" w:color="auto" w:fill="auto"/>
            <w:vAlign w:val="bottom"/>
          </w:tcPr>
          <w:p w14:paraId="75ADC931" w14:textId="6B2291E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53232F" w:rsidRPr="0053232F">
              <w:rPr>
                <w:rFonts w:ascii="Times New Roman" w:hAnsi="Times New Roman" w:cs="Times New Roman"/>
                <w:bCs/>
                <w:sz w:val="24"/>
                <w:szCs w:val="24"/>
              </w:rPr>
              <w:t>Hossain, Md. Faruque. (2006). Arsenic Contamination in Bangladesh – an Overview. Agriculture, Ecosystems &amp; Environment. 113. 1-16. 10.1016/j.agee.2005.08.034.</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40CF12E" w14:textId="5343F44F" w:rsidR="00852B20" w:rsidRPr="005014C2" w:rsidRDefault="005014C2" w:rsidP="005014C2">
            <w:pPr>
              <w:spacing w:line="276" w:lineRule="auto"/>
              <w:jc w:val="both"/>
              <w:rPr>
                <w:rFonts w:ascii="Times New Roman" w:hAnsi="Times New Roman" w:cs="Times New Roman"/>
                <w:sz w:val="24"/>
                <w:szCs w:val="24"/>
              </w:rPr>
            </w:pPr>
            <w:r w:rsidRPr="005014C2">
              <w:rPr>
                <w:rFonts w:ascii="Times New Roman" w:hAnsi="Times New Roman" w:cs="Times New Roman"/>
                <w:color w:val="2E2E2E"/>
                <w:sz w:val="24"/>
                <w:szCs w:val="24"/>
              </w:rPr>
              <w:t xml:space="preserve">Bangladesh is currently facing a serious threat to public health, with 85 million people at risk from arsenic (As) in drinking water and in food crops. In Bangladesh, the groundwater </w:t>
            </w:r>
            <w:proofErr w:type="gramStart"/>
            <w:r w:rsidRPr="005014C2">
              <w:rPr>
                <w:rFonts w:ascii="Times New Roman" w:hAnsi="Times New Roman" w:cs="Times New Roman"/>
                <w:color w:val="2E2E2E"/>
                <w:sz w:val="24"/>
                <w:szCs w:val="24"/>
              </w:rPr>
              <w:t>As</w:t>
            </w:r>
            <w:proofErr w:type="gramEnd"/>
            <w:r w:rsidRPr="005014C2">
              <w:rPr>
                <w:rFonts w:ascii="Times New Roman" w:hAnsi="Times New Roman" w:cs="Times New Roman"/>
                <w:color w:val="2E2E2E"/>
                <w:sz w:val="24"/>
                <w:szCs w:val="24"/>
              </w:rPr>
              <w:t xml:space="preserve"> contamination problem is the worst in the world. Ninety-seven percent of the population in the country uses groundwater for drinking and domestic purposes as </w:t>
            </w:r>
            <w:r w:rsidR="00A1721B" w:rsidRPr="005014C2">
              <w:rPr>
                <w:rFonts w:ascii="Times New Roman" w:hAnsi="Times New Roman" w:cs="Times New Roman"/>
                <w:color w:val="2E2E2E"/>
                <w:sz w:val="24"/>
                <w:szCs w:val="24"/>
              </w:rPr>
              <w:t>surface water</w:t>
            </w:r>
            <w:r w:rsidRPr="005014C2">
              <w:rPr>
                <w:rFonts w:ascii="Times New Roman" w:hAnsi="Times New Roman" w:cs="Times New Roman"/>
                <w:color w:val="2E2E2E"/>
                <w:sz w:val="24"/>
                <w:szCs w:val="24"/>
              </w:rPr>
              <w:t xml:space="preserve"> is mismanaged. High levels of </w:t>
            </w:r>
            <w:proofErr w:type="gramStart"/>
            <w:r w:rsidRPr="005014C2">
              <w:rPr>
                <w:rFonts w:ascii="Times New Roman" w:hAnsi="Times New Roman" w:cs="Times New Roman"/>
                <w:color w:val="2E2E2E"/>
                <w:sz w:val="24"/>
                <w:szCs w:val="24"/>
              </w:rPr>
              <w:t>As</w:t>
            </w:r>
            <w:proofErr w:type="gramEnd"/>
            <w:r w:rsidRPr="005014C2">
              <w:rPr>
                <w:rFonts w:ascii="Times New Roman" w:hAnsi="Times New Roman" w:cs="Times New Roman"/>
                <w:color w:val="2E2E2E"/>
                <w:sz w:val="24"/>
                <w:szCs w:val="24"/>
              </w:rPr>
              <w:t xml:space="preserve"> in groundwater are causing widespread poisoning in Bangladesh. Different studies have addressed various aspects of the </w:t>
            </w:r>
            <w:proofErr w:type="gramStart"/>
            <w:r w:rsidRPr="005014C2">
              <w:rPr>
                <w:rFonts w:ascii="Times New Roman" w:hAnsi="Times New Roman" w:cs="Times New Roman"/>
                <w:color w:val="2E2E2E"/>
                <w:sz w:val="24"/>
                <w:szCs w:val="24"/>
              </w:rPr>
              <w:t>As</w:t>
            </w:r>
            <w:proofErr w:type="gramEnd"/>
            <w:r w:rsidRPr="005014C2">
              <w:rPr>
                <w:rFonts w:ascii="Times New Roman" w:hAnsi="Times New Roman" w:cs="Times New Roman"/>
                <w:color w:val="2E2E2E"/>
                <w:sz w:val="24"/>
                <w:szCs w:val="24"/>
              </w:rPr>
              <w:t xml:space="preserve"> issue in Bangladesh. This review is undertaken to give an overview of the latest findings and statistical data on the issue especially on soil, water and food cycle. The World Health Organization (WHO) recommends a safe limit for </w:t>
            </w:r>
            <w:proofErr w:type="gramStart"/>
            <w:r w:rsidRPr="005014C2">
              <w:rPr>
                <w:rFonts w:ascii="Times New Roman" w:hAnsi="Times New Roman" w:cs="Times New Roman"/>
                <w:color w:val="2E2E2E"/>
                <w:sz w:val="24"/>
                <w:szCs w:val="24"/>
              </w:rPr>
              <w:t>As</w:t>
            </w:r>
            <w:proofErr w:type="gramEnd"/>
            <w:r w:rsidRPr="005014C2">
              <w:rPr>
                <w:rFonts w:ascii="Times New Roman" w:hAnsi="Times New Roman" w:cs="Times New Roman"/>
                <w:color w:val="2E2E2E"/>
                <w:sz w:val="24"/>
                <w:szCs w:val="24"/>
              </w:rPr>
              <w:t xml:space="preserve"> in drinking water of 10 </w:t>
            </w:r>
            <w:proofErr w:type="spellStart"/>
            <w:r w:rsidRPr="005014C2">
              <w:rPr>
                <w:rFonts w:ascii="Times New Roman" w:hAnsi="Times New Roman" w:cs="Times New Roman"/>
                <w:color w:val="2E2E2E"/>
                <w:sz w:val="24"/>
                <w:szCs w:val="24"/>
              </w:rPr>
              <w:t>μg</w:t>
            </w:r>
            <w:proofErr w:type="spellEnd"/>
            <w:r w:rsidRPr="005014C2">
              <w:rPr>
                <w:rFonts w:ascii="Times New Roman" w:hAnsi="Times New Roman" w:cs="Times New Roman"/>
                <w:color w:val="2E2E2E"/>
                <w:sz w:val="24"/>
                <w:szCs w:val="24"/>
              </w:rPr>
              <w:t> L</w:t>
            </w:r>
            <w:r w:rsidRPr="005014C2">
              <w:rPr>
                <w:rFonts w:ascii="Times New Roman" w:hAnsi="Times New Roman" w:cs="Times New Roman"/>
                <w:color w:val="2E2E2E"/>
                <w:sz w:val="24"/>
                <w:szCs w:val="24"/>
                <w:vertAlign w:val="superscript"/>
              </w:rPr>
              <w:t>−1</w:t>
            </w:r>
            <w:r w:rsidRPr="005014C2">
              <w:rPr>
                <w:rFonts w:ascii="Times New Roman" w:hAnsi="Times New Roman" w:cs="Times New Roman"/>
                <w:color w:val="2E2E2E"/>
                <w:sz w:val="24"/>
                <w:szCs w:val="24"/>
              </w:rPr>
              <w:t xml:space="preserve">. A recent survey looked at the </w:t>
            </w:r>
            <w:proofErr w:type="gramStart"/>
            <w:r w:rsidRPr="005014C2">
              <w:rPr>
                <w:rFonts w:ascii="Times New Roman" w:hAnsi="Times New Roman" w:cs="Times New Roman"/>
                <w:color w:val="2E2E2E"/>
                <w:sz w:val="24"/>
                <w:szCs w:val="24"/>
              </w:rPr>
              <w:t>As</w:t>
            </w:r>
            <w:proofErr w:type="gramEnd"/>
            <w:r w:rsidRPr="005014C2">
              <w:rPr>
                <w:rFonts w:ascii="Times New Roman" w:hAnsi="Times New Roman" w:cs="Times New Roman"/>
                <w:color w:val="2E2E2E"/>
                <w:sz w:val="24"/>
                <w:szCs w:val="24"/>
              </w:rPr>
              <w:t xml:space="preserve"> concentrations of drinking water from deep wells in 64 districts in the country and found that 59 had concentrations &gt;10 </w:t>
            </w:r>
            <w:proofErr w:type="spellStart"/>
            <w:r w:rsidRPr="005014C2">
              <w:rPr>
                <w:rFonts w:ascii="Times New Roman" w:hAnsi="Times New Roman" w:cs="Times New Roman"/>
                <w:color w:val="2E2E2E"/>
                <w:sz w:val="24"/>
                <w:szCs w:val="24"/>
              </w:rPr>
              <w:t>μg</w:t>
            </w:r>
            <w:proofErr w:type="spellEnd"/>
            <w:r w:rsidRPr="005014C2">
              <w:rPr>
                <w:rFonts w:ascii="Times New Roman" w:hAnsi="Times New Roman" w:cs="Times New Roman"/>
                <w:color w:val="2E2E2E"/>
                <w:sz w:val="24"/>
                <w:szCs w:val="24"/>
              </w:rPr>
              <w:t> L</w:t>
            </w:r>
            <w:r w:rsidRPr="005014C2">
              <w:rPr>
                <w:rFonts w:ascii="Times New Roman" w:hAnsi="Times New Roman" w:cs="Times New Roman"/>
                <w:color w:val="2E2E2E"/>
                <w:sz w:val="24"/>
                <w:szCs w:val="24"/>
                <w:vertAlign w:val="superscript"/>
              </w:rPr>
              <w:t>−1</w:t>
            </w:r>
            <w:r w:rsidRPr="005014C2">
              <w:rPr>
                <w:rFonts w:ascii="Times New Roman" w:hAnsi="Times New Roman" w:cs="Times New Roman"/>
                <w:color w:val="2E2E2E"/>
                <w:sz w:val="24"/>
                <w:szCs w:val="24"/>
              </w:rPr>
              <w:t> and 43 had concentrations &gt;50 </w:t>
            </w:r>
            <w:proofErr w:type="spellStart"/>
            <w:r w:rsidRPr="005014C2">
              <w:rPr>
                <w:rFonts w:ascii="Times New Roman" w:hAnsi="Times New Roman" w:cs="Times New Roman"/>
                <w:color w:val="2E2E2E"/>
                <w:sz w:val="24"/>
                <w:szCs w:val="24"/>
              </w:rPr>
              <w:t>μg</w:t>
            </w:r>
            <w:proofErr w:type="spellEnd"/>
            <w:r w:rsidRPr="005014C2">
              <w:rPr>
                <w:rFonts w:ascii="Times New Roman" w:hAnsi="Times New Roman" w:cs="Times New Roman"/>
                <w:color w:val="2E2E2E"/>
                <w:sz w:val="24"/>
                <w:szCs w:val="24"/>
              </w:rPr>
              <w:t> L</w:t>
            </w:r>
            <w:r w:rsidRPr="005014C2">
              <w:rPr>
                <w:rFonts w:ascii="Times New Roman" w:hAnsi="Times New Roman" w:cs="Times New Roman"/>
                <w:color w:val="2E2E2E"/>
                <w:sz w:val="24"/>
                <w:szCs w:val="24"/>
                <w:vertAlign w:val="superscript"/>
              </w:rPr>
              <w:t>−1</w:t>
            </w:r>
            <w:r w:rsidRPr="005014C2">
              <w:rPr>
                <w:rFonts w:ascii="Times New Roman" w:hAnsi="Times New Roman" w:cs="Times New Roman"/>
                <w:color w:val="2E2E2E"/>
                <w:sz w:val="24"/>
                <w:szCs w:val="24"/>
              </w:rPr>
              <w:t>. Contaminated groundwater is also used for irrigation of </w:t>
            </w:r>
            <w:hyperlink r:id="rId11" w:tooltip="Learn more about paddy from ScienceDirect's AI-generated Topic Pages" w:history="1">
              <w:r w:rsidRPr="005014C2">
                <w:rPr>
                  <w:rStyle w:val="Hyperlink"/>
                  <w:rFonts w:ascii="Times New Roman" w:hAnsi="Times New Roman" w:cs="Times New Roman"/>
                  <w:color w:val="2E2E2E"/>
                  <w:sz w:val="24"/>
                  <w:szCs w:val="24"/>
                </w:rPr>
                <w:t>paddy</w:t>
              </w:r>
            </w:hyperlink>
            <w:r w:rsidRPr="005014C2">
              <w:rPr>
                <w:rFonts w:ascii="Times New Roman" w:hAnsi="Times New Roman" w:cs="Times New Roman"/>
                <w:color w:val="2E2E2E"/>
                <w:sz w:val="24"/>
                <w:szCs w:val="24"/>
              </w:rPr>
              <w:t> rice, which is the main </w:t>
            </w:r>
            <w:hyperlink r:id="rId12" w:tooltip="Learn more about staple food from ScienceDirect's AI-generated Topic Pages" w:history="1">
              <w:r w:rsidRPr="005014C2">
                <w:rPr>
                  <w:rStyle w:val="Hyperlink"/>
                  <w:rFonts w:ascii="Times New Roman" w:hAnsi="Times New Roman" w:cs="Times New Roman"/>
                  <w:color w:val="2E2E2E"/>
                  <w:sz w:val="24"/>
                  <w:szCs w:val="24"/>
                </w:rPr>
                <w:t>staple food</w:t>
              </w:r>
            </w:hyperlink>
            <w:r w:rsidRPr="005014C2">
              <w:rPr>
                <w:rFonts w:ascii="Times New Roman" w:hAnsi="Times New Roman" w:cs="Times New Roman"/>
                <w:color w:val="2E2E2E"/>
                <w:sz w:val="24"/>
                <w:szCs w:val="24"/>
              </w:rPr>
              <w:t xml:space="preserve"> for the population. This practice enhances the level of </w:t>
            </w:r>
            <w:proofErr w:type="gramStart"/>
            <w:r w:rsidRPr="005014C2">
              <w:rPr>
                <w:rFonts w:ascii="Times New Roman" w:hAnsi="Times New Roman" w:cs="Times New Roman"/>
                <w:color w:val="2E2E2E"/>
                <w:sz w:val="24"/>
                <w:szCs w:val="24"/>
              </w:rPr>
              <w:t>As</w:t>
            </w:r>
            <w:proofErr w:type="gramEnd"/>
            <w:r w:rsidRPr="005014C2">
              <w:rPr>
                <w:rFonts w:ascii="Times New Roman" w:hAnsi="Times New Roman" w:cs="Times New Roman"/>
                <w:color w:val="2E2E2E"/>
                <w:sz w:val="24"/>
                <w:szCs w:val="24"/>
              </w:rPr>
              <w:t xml:space="preserve"> in the soils rendering them unsuitable for agriculture. A few recent studies have reported that 85–95% of total </w:t>
            </w:r>
            <w:proofErr w:type="gramStart"/>
            <w:r w:rsidRPr="005014C2">
              <w:rPr>
                <w:rFonts w:ascii="Times New Roman" w:hAnsi="Times New Roman" w:cs="Times New Roman"/>
                <w:color w:val="2E2E2E"/>
                <w:sz w:val="24"/>
                <w:szCs w:val="24"/>
              </w:rPr>
              <w:t>As</w:t>
            </w:r>
            <w:proofErr w:type="gramEnd"/>
            <w:r w:rsidRPr="005014C2">
              <w:rPr>
                <w:rFonts w:ascii="Times New Roman" w:hAnsi="Times New Roman" w:cs="Times New Roman"/>
                <w:color w:val="2E2E2E"/>
                <w:sz w:val="24"/>
                <w:szCs w:val="24"/>
              </w:rPr>
              <w:t xml:space="preserve"> in rice and a vegetable was inorganic, which outlines the need for more studies for standardization. Arsenic concentration is higher in Bangladeshi soils, groundwater and plants (data based on 4% area of the country) than the permissible limits or normal range reported. This situation poses a serious threat on human and livestock health and highlights the need for scientific studies that would better describes the fate of </w:t>
            </w:r>
            <w:proofErr w:type="gramStart"/>
            <w:r w:rsidRPr="005014C2">
              <w:rPr>
                <w:rFonts w:ascii="Times New Roman" w:hAnsi="Times New Roman" w:cs="Times New Roman"/>
                <w:color w:val="2E2E2E"/>
                <w:sz w:val="24"/>
                <w:szCs w:val="24"/>
              </w:rPr>
              <w:t>As</w:t>
            </w:r>
            <w:proofErr w:type="gramEnd"/>
            <w:r w:rsidRPr="005014C2">
              <w:rPr>
                <w:rFonts w:ascii="Times New Roman" w:hAnsi="Times New Roman" w:cs="Times New Roman"/>
                <w:color w:val="2E2E2E"/>
                <w:sz w:val="24"/>
                <w:szCs w:val="24"/>
              </w:rPr>
              <w:t xml:space="preserve"> in the natural environment and identify all potential routes of exposure.</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A1721B" w:rsidRDefault="00CE7E7E" w:rsidP="00FE433B">
            <w:pPr>
              <w:spacing w:after="160" w:line="259" w:lineRule="auto"/>
              <w:rPr>
                <w:rFonts w:ascii="Times New Roman" w:hAnsi="Times New Roman" w:cs="Times New Roman"/>
                <w:b/>
                <w:bCs/>
                <w:sz w:val="24"/>
                <w:szCs w:val="24"/>
              </w:rPr>
            </w:pPr>
            <w:r w:rsidRPr="00A1721B">
              <w:rPr>
                <w:rFonts w:ascii="Times New Roman" w:hAnsi="Times New Roman" w:cs="Times New Roman"/>
                <w:b/>
                <w:bCs/>
                <w:sz w:val="24"/>
                <w:szCs w:val="24"/>
              </w:rPr>
              <w:t>Goal 6</w:t>
            </w:r>
          </w:p>
        </w:tc>
        <w:tc>
          <w:tcPr>
            <w:tcW w:w="3505" w:type="dxa"/>
          </w:tcPr>
          <w:p w14:paraId="7BECFED2" w14:textId="26CCC773" w:rsidR="00FE433B" w:rsidRPr="00A1721B" w:rsidRDefault="00CE7E7E" w:rsidP="00FE433B">
            <w:pPr>
              <w:spacing w:after="160" w:line="259" w:lineRule="auto"/>
              <w:rPr>
                <w:rFonts w:ascii="Times New Roman" w:hAnsi="Times New Roman" w:cs="Times New Roman"/>
                <w:b/>
                <w:bCs/>
                <w:sz w:val="24"/>
                <w:szCs w:val="24"/>
              </w:rPr>
            </w:pPr>
            <w:r w:rsidRPr="00A1721B">
              <w:rPr>
                <w:rFonts w:ascii="Times New Roman" w:hAnsi="Times New Roman" w:cs="Times New Roman"/>
                <w:b/>
                <w:bCs/>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1FF0A" w14:textId="77777777" w:rsidR="00241486" w:rsidRDefault="00241486" w:rsidP="00C9238F">
      <w:pPr>
        <w:spacing w:after="0" w:line="240" w:lineRule="auto"/>
      </w:pPr>
      <w:r>
        <w:separator/>
      </w:r>
    </w:p>
  </w:endnote>
  <w:endnote w:type="continuationSeparator" w:id="0">
    <w:p w14:paraId="5C7814D6" w14:textId="77777777" w:rsidR="00241486" w:rsidRDefault="002414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8E21F4E-276F-498C-8240-C0681347F066}"/>
    <w:embedBold r:id="rId2" w:fontKey="{189EBB90-2C30-44C4-BF67-CD1494BCD6CF}"/>
    <w:embedItalic r:id="rId3" w:fontKey="{B71D7210-E481-4AC1-BF9F-2384F332CAF4}"/>
    <w:embedBoldItalic r:id="rId4" w:fontKey="{99AC60E5-1600-4C4E-AF80-0E27383DCD2E}"/>
  </w:font>
  <w:font w:name="Corbel">
    <w:panose1 w:val="020B0503020204020204"/>
    <w:charset w:val="00"/>
    <w:family w:val="swiss"/>
    <w:pitch w:val="variable"/>
    <w:sig w:usb0="A00002EF" w:usb1="4000A44B" w:usb2="00000000" w:usb3="00000000" w:csb0="0000019F" w:csb1="00000000"/>
    <w:embedRegular r:id="rId5" w:fontKey="{C84289C2-297B-41BE-BB78-AC0F463F674F}"/>
    <w:embedBold r:id="rId6" w:fontKey="{06AA9C91-C936-4BBF-B164-B447FF3AA763}"/>
    <w:embedItalic r:id="rId7" w:fontKey="{E2ACC728-D763-40E2-A92E-20D3D32E2B73}"/>
  </w:font>
  <w:font w:name="Vrinda">
    <w:panose1 w:val="00000400000000000000"/>
    <w:charset w:val="00"/>
    <w:family w:val="swiss"/>
    <w:pitch w:val="variable"/>
    <w:sig w:usb0="00010003" w:usb1="00000000" w:usb2="00000000" w:usb3="00000000" w:csb0="00000001" w:csb1="00000000"/>
    <w:embedRegular r:id="rId8" w:fontKey="{E7624301-39E7-4592-BCAC-4A7A4C026959}"/>
    <w:embedBold r:id="rId9" w:fontKey="{476D8FBD-5E72-496C-9142-96E5F42BA1B3}"/>
    <w:embedItalic r:id="rId10" w:fontKey="{7B02FE54-861A-4572-AB93-44D2BD4C3E6B}"/>
    <w:embedBoldItalic r:id="rId11" w:fontKey="{F57543BA-53F0-42EB-A9BA-CEDA51589559}"/>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CC13226-0940-4E23-A0E4-5521AB28F9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65D06" w14:textId="77777777" w:rsidR="00241486" w:rsidRDefault="00241486" w:rsidP="00C9238F">
      <w:pPr>
        <w:spacing w:after="0" w:line="240" w:lineRule="auto"/>
      </w:pPr>
      <w:r>
        <w:separator/>
      </w:r>
    </w:p>
  </w:footnote>
  <w:footnote w:type="continuationSeparator" w:id="0">
    <w:p w14:paraId="166DB4B2" w14:textId="77777777" w:rsidR="00241486" w:rsidRDefault="002414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41486"/>
    <w:rsid w:val="00263D75"/>
    <w:rsid w:val="002C56E6"/>
    <w:rsid w:val="002D3238"/>
    <w:rsid w:val="002F2AC1"/>
    <w:rsid w:val="00300623"/>
    <w:rsid w:val="003274A6"/>
    <w:rsid w:val="00361E11"/>
    <w:rsid w:val="00370C3C"/>
    <w:rsid w:val="003F0847"/>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42C7E"/>
    <w:rsid w:val="00952407"/>
    <w:rsid w:val="0097437B"/>
    <w:rsid w:val="0097508B"/>
    <w:rsid w:val="00980CEF"/>
    <w:rsid w:val="0098597D"/>
    <w:rsid w:val="009B21A9"/>
    <w:rsid w:val="009F619A"/>
    <w:rsid w:val="009F6DDE"/>
    <w:rsid w:val="009F77CA"/>
    <w:rsid w:val="00A1613A"/>
    <w:rsid w:val="00A1721B"/>
    <w:rsid w:val="00A33E91"/>
    <w:rsid w:val="00A370A8"/>
    <w:rsid w:val="00A44F41"/>
    <w:rsid w:val="00A51CA6"/>
    <w:rsid w:val="00A6153C"/>
    <w:rsid w:val="00A82A33"/>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31E76"/>
    <w:rsid w:val="00D53D91"/>
    <w:rsid w:val="00DB3FAD"/>
    <w:rsid w:val="00DE6A10"/>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iencedirect.com/topics/earth-and-planetary-sciences/staple-food"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direct.com/topics/agricultural-and-biological-sciences/paddi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2022-08-07T11:15:00Z</dcterms:created>
  <dcterms:modified xsi:type="dcterms:W3CDTF">2022-08-07T11:15:00Z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