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9B97223" w:rsidR="00C9238F" w:rsidRPr="00C333A6" w:rsidRDefault="00B511B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511BB">
              <w:t>Triggering the theoretical capacity of Na</w:t>
            </w:r>
            <w:r w:rsidRPr="00B511BB">
              <w:rPr>
                <w:vertAlign w:val="subscript"/>
              </w:rPr>
              <w:t>1.1</w:t>
            </w:r>
            <w:r w:rsidRPr="00B511BB">
              <w:t>V</w:t>
            </w:r>
            <w:r w:rsidRPr="00B511BB">
              <w:rPr>
                <w:vertAlign w:val="subscript"/>
              </w:rPr>
              <w:t>3</w:t>
            </w:r>
            <w:r w:rsidRPr="00B511BB">
              <w:t>O</w:t>
            </w:r>
            <w:r w:rsidRPr="00B511BB">
              <w:rPr>
                <w:vertAlign w:val="subscript"/>
              </w:rPr>
              <w:t>7.9</w:t>
            </w:r>
            <w:r w:rsidRPr="00B511BB">
              <w:t xml:space="preserve"> nanorod cathode by </w:t>
            </w:r>
            <w:proofErr w:type="spellStart"/>
            <w:r w:rsidRPr="00B511BB">
              <w:t>polypyrrole</w:t>
            </w:r>
            <w:proofErr w:type="spellEnd"/>
            <w:r w:rsidRPr="00B511BB">
              <w:t xml:space="preserve"> coating for high-energy zinc-ion batteries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AD8F132" w:rsidR="00C9238F" w:rsidRPr="005E19AD" w:rsidRDefault="00B511BB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B511BB">
              <w:t xml:space="preserve">Saiful Islam, </w:t>
            </w:r>
            <w:proofErr w:type="spellStart"/>
            <w:r w:rsidRPr="00B511BB">
              <w:t>Seunggyeong</w:t>
            </w:r>
            <w:proofErr w:type="spellEnd"/>
            <w:r w:rsidRPr="00B511BB">
              <w:t xml:space="preserve"> </w:t>
            </w:r>
            <w:proofErr w:type="gramStart"/>
            <w:r w:rsidRPr="00B511BB">
              <w:t>Lee ,</w:t>
            </w:r>
            <w:proofErr w:type="gramEnd"/>
            <w:r w:rsidRPr="00B511BB">
              <w:t xml:space="preserve"> </w:t>
            </w:r>
            <w:proofErr w:type="spellStart"/>
            <w:r w:rsidRPr="00B511BB">
              <w:t>Seulgi</w:t>
            </w:r>
            <w:proofErr w:type="spellEnd"/>
            <w:r w:rsidRPr="00B511BB">
              <w:t xml:space="preserve"> Lee , Muhammad </w:t>
            </w:r>
            <w:proofErr w:type="spellStart"/>
            <w:r w:rsidRPr="00B511BB">
              <w:t>Hilmy</w:t>
            </w:r>
            <w:proofErr w:type="spellEnd"/>
            <w:r w:rsidRPr="00B511BB">
              <w:t xml:space="preserve"> </w:t>
            </w:r>
            <w:proofErr w:type="spellStart"/>
            <w:r w:rsidRPr="00B511BB">
              <w:t>Alfaruqi</w:t>
            </w:r>
            <w:proofErr w:type="spellEnd"/>
            <w:r w:rsidRPr="00B511BB">
              <w:t xml:space="preserve">, Balaji </w:t>
            </w:r>
            <w:proofErr w:type="spellStart"/>
            <w:r w:rsidRPr="00B511BB">
              <w:t>Sambandam</w:t>
            </w:r>
            <w:proofErr w:type="spellEnd"/>
            <w:r w:rsidRPr="00B511BB">
              <w:t xml:space="preserve"> , Vinod Mathew, Jang-Yeon Hwang , </w:t>
            </w:r>
            <w:proofErr w:type="spellStart"/>
            <w:r w:rsidRPr="00B511BB">
              <w:t>Jaekook</w:t>
            </w:r>
            <w:proofErr w:type="spellEnd"/>
            <w:r w:rsidRPr="00B511BB">
              <w:t xml:space="preserve"> Kim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DCFEA32" w:rsidR="00C9238F" w:rsidRPr="005E19AD" w:rsidRDefault="009B60B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B60B2">
              <w:rPr>
                <w:rFonts w:ascii="Times New Roman" w:hAnsi="Times New Roman" w:cs="Times New Roman"/>
              </w:rPr>
              <w:t>jaekook@chonnam.ac.kr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828AA8B" w:rsidR="00C9238F" w:rsidRPr="005E19AD" w:rsidRDefault="00B511B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Chemical Engineering </w:t>
            </w:r>
            <w:proofErr w:type="spellStart"/>
            <w:r>
              <w:rPr>
                <w:rFonts w:ascii="Times New Roman" w:hAnsi="Times New Roman" w:cs="Times New Roman"/>
              </w:rPr>
              <w:t>JournaL</w:t>
            </w:r>
            <w:proofErr w:type="spellEnd"/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9A7D387" w:rsidR="00576892" w:rsidRPr="005E19AD" w:rsidRDefault="00B511B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446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9956560" w:rsidR="00576892" w:rsidRPr="005E19AD" w:rsidRDefault="00B511B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Part 2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71051BF" w:rsidR="00852B20" w:rsidRPr="005E19AD" w:rsidRDefault="00B511B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Elsevier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5946FD5" w:rsidR="00852B20" w:rsidRPr="005E19AD" w:rsidRDefault="00B511B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May</w:t>
            </w:r>
            <w:r w:rsidR="009B60B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18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904DC4C" w:rsidR="00852B20" w:rsidRPr="00C26D05" w:rsidRDefault="00B511B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511BB">
              <w:rPr>
                <w:rFonts w:ascii="Times New Roman" w:hAnsi="Times New Roman" w:cs="Times New Roman"/>
                <w:color w:val="1F1F1F"/>
                <w:shd w:val="clear" w:color="auto" w:fill="FFFFFF"/>
              </w:rPr>
              <w:t>1385-8947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23C27D5" w:rsidR="00852B20" w:rsidRPr="00C333A6" w:rsidRDefault="00FC0FBD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1" w:tgtFrame="_blank" w:tooltip="Persistent link using digital object identifier" w:history="1">
              <w:r w:rsidRPr="00FC0FBD">
                <w:rPr>
                  <w:rStyle w:val="Hyperlink"/>
                  <w:rFonts w:ascii="Times New Roman" w:hAnsi="Times New Roman" w:cs="Times New Roman"/>
                </w:rPr>
                <w:t>https://doi.org/10.1016/j.cej.2022.137069</w:t>
              </w:r>
            </w:hyperlink>
          </w:p>
        </w:tc>
      </w:tr>
      <w:tr w:rsidR="009924F8" w:rsidRPr="005E19AD" w14:paraId="16A1DAEC" w14:textId="77777777" w:rsidTr="000D68B9">
        <w:tc>
          <w:tcPr>
            <w:tcW w:w="1011" w:type="pct"/>
            <w:vAlign w:val="center"/>
          </w:tcPr>
          <w:p w14:paraId="58F94C75" w14:textId="7E5AE992" w:rsidR="009924F8" w:rsidRPr="005E19AD" w:rsidRDefault="009924F8" w:rsidP="009924F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F18C04B" w:rsidR="009924F8" w:rsidRPr="005E19AD" w:rsidRDefault="009924F8" w:rsidP="009924F8">
            <w:pPr>
              <w:spacing w:before="240"/>
              <w:rPr>
                <w:rFonts w:ascii="Times New Roman" w:hAnsi="Times New Roman" w:cs="Times New Roman"/>
              </w:rPr>
            </w:pPr>
            <w:hyperlink r:id="rId12" w:tgtFrame="_blank" w:tooltip="Persistent link using digital object identifier" w:history="1">
              <w:r w:rsidRPr="00FC0FBD">
                <w:rPr>
                  <w:rStyle w:val="Hyperlink"/>
                  <w:rFonts w:ascii="Times New Roman" w:hAnsi="Times New Roman" w:cs="Times New Roman"/>
                </w:rPr>
                <w:t>https://doi.org/10.1016/j.cej.2022.137069</w:t>
              </w:r>
            </w:hyperlink>
          </w:p>
        </w:tc>
      </w:tr>
      <w:tr w:rsidR="009924F8" w:rsidRPr="005E19AD" w14:paraId="204EC2C6" w14:textId="77777777" w:rsidTr="000D68B9">
        <w:tc>
          <w:tcPr>
            <w:tcW w:w="1011" w:type="pct"/>
            <w:vAlign w:val="center"/>
          </w:tcPr>
          <w:p w14:paraId="07EC2428" w14:textId="42CDFAAE" w:rsidR="009924F8" w:rsidRPr="005E19AD" w:rsidRDefault="009924F8" w:rsidP="009924F8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7AAA443" w:rsidR="009924F8" w:rsidRPr="005E19AD" w:rsidRDefault="009924F8" w:rsidP="009924F8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Pr="00FC0FBD">
              <w:rPr>
                <w:rFonts w:ascii="Times New Roman" w:hAnsi="Times New Roman" w:cs="Times New Roman"/>
              </w:rPr>
              <w:t>137069</w:t>
            </w:r>
          </w:p>
        </w:tc>
      </w:tr>
      <w:tr w:rsidR="009924F8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9924F8" w:rsidRPr="005E19AD" w:rsidRDefault="009924F8" w:rsidP="009924F8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945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0339CC67" w:rsidR="00852B20" w:rsidRPr="005E19AD" w:rsidRDefault="00FC0FBD" w:rsidP="00576892">
            <w:pPr>
              <w:rPr>
                <w:rFonts w:ascii="Times New Roman" w:hAnsi="Times New Roman" w:cs="Times New Roman"/>
              </w:rPr>
            </w:pPr>
            <w:r w:rsidRPr="00FC0FBD">
              <w:rPr>
                <w:rFonts w:ascii="Times New Roman" w:hAnsi="Times New Roman" w:cs="Times New Roman"/>
              </w:rPr>
              <w:t xml:space="preserve">The exploration of advanced cathode materials for aqueous rechargeable zinc-ion batteries (ZIBs) is currently a major research topic. In this study, we propose the microwave-assisted hydrothermal synthesis of </w:t>
            </w:r>
            <w:proofErr w:type="spellStart"/>
            <w:r w:rsidRPr="00FC0FBD">
              <w:rPr>
                <w:rFonts w:ascii="Times New Roman" w:hAnsi="Times New Roman" w:cs="Times New Roman"/>
              </w:rPr>
              <w:t>polypyrrole</w:t>
            </w:r>
            <w:proofErr w:type="spellEnd"/>
            <w:r w:rsidRPr="00FC0FB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FC0FBD">
              <w:rPr>
                <w:rFonts w:ascii="Times New Roman" w:hAnsi="Times New Roman" w:cs="Times New Roman"/>
              </w:rPr>
              <w:t>PPy</w:t>
            </w:r>
            <w:proofErr w:type="spellEnd"/>
            <w:r w:rsidRPr="00FC0FBD">
              <w:rPr>
                <w:rFonts w:ascii="Times New Roman" w:hAnsi="Times New Roman" w:cs="Times New Roman"/>
              </w:rPr>
              <w:t>)-coated Na</w:t>
            </w:r>
            <w:r w:rsidRPr="00FC0FBD">
              <w:rPr>
                <w:rFonts w:ascii="Times New Roman" w:hAnsi="Times New Roman" w:cs="Times New Roman"/>
                <w:vertAlign w:val="subscript"/>
              </w:rPr>
              <w:t>1.1</w:t>
            </w:r>
            <w:r w:rsidRPr="00FC0FBD">
              <w:rPr>
                <w:rFonts w:ascii="Times New Roman" w:hAnsi="Times New Roman" w:cs="Times New Roman"/>
              </w:rPr>
              <w:t>V</w:t>
            </w:r>
            <w:r w:rsidRPr="00FC0FBD">
              <w:rPr>
                <w:rFonts w:ascii="Times New Roman" w:hAnsi="Times New Roman" w:cs="Times New Roman"/>
                <w:vertAlign w:val="subscript"/>
              </w:rPr>
              <w:t>3</w:t>
            </w:r>
            <w:r w:rsidRPr="00FC0FBD">
              <w:rPr>
                <w:rFonts w:ascii="Times New Roman" w:hAnsi="Times New Roman" w:cs="Times New Roman"/>
              </w:rPr>
              <w:t>O</w:t>
            </w:r>
            <w:r w:rsidRPr="00FC0FBD">
              <w:rPr>
                <w:rFonts w:ascii="Times New Roman" w:hAnsi="Times New Roman" w:cs="Times New Roman"/>
                <w:vertAlign w:val="subscript"/>
              </w:rPr>
              <w:t>7.9</w:t>
            </w:r>
            <w:r w:rsidRPr="00FC0FBD">
              <w:rPr>
                <w:rFonts w:ascii="Times New Roman" w:hAnsi="Times New Roman" w:cs="Times New Roman"/>
              </w:rPr>
              <w:t xml:space="preserve"> (P-NVO) nanorods for the first time as a high-energy and high-power cathode material for ZIBs. The highly conductive </w:t>
            </w:r>
            <w:proofErr w:type="spellStart"/>
            <w:r w:rsidRPr="00FC0FBD">
              <w:rPr>
                <w:rFonts w:ascii="Times New Roman" w:hAnsi="Times New Roman" w:cs="Times New Roman"/>
              </w:rPr>
              <w:t>PPy</w:t>
            </w:r>
            <w:proofErr w:type="spellEnd"/>
            <w:r w:rsidRPr="00FC0FBD">
              <w:rPr>
                <w:rFonts w:ascii="Times New Roman" w:hAnsi="Times New Roman" w:cs="Times New Roman"/>
              </w:rPr>
              <w:t xml:space="preserve"> surface-coating layer is significant to enhance the electronic conductivity and Zn</w:t>
            </w:r>
            <w:r w:rsidRPr="00FC0FBD">
              <w:rPr>
                <w:rFonts w:ascii="Times New Roman" w:hAnsi="Times New Roman" w:cs="Times New Roman"/>
                <w:vertAlign w:val="superscript"/>
              </w:rPr>
              <w:t>2+</w:t>
            </w:r>
            <w:r w:rsidRPr="00FC0FBD">
              <w:rPr>
                <w:rFonts w:ascii="Times New Roman" w:hAnsi="Times New Roman" w:cs="Times New Roman"/>
              </w:rPr>
              <w:t> diffusion kinetics, leading to utilize the V</w:t>
            </w:r>
            <w:r w:rsidRPr="00FC0FBD">
              <w:rPr>
                <w:rFonts w:ascii="Times New Roman" w:hAnsi="Times New Roman" w:cs="Times New Roman"/>
                <w:vertAlign w:val="superscript"/>
              </w:rPr>
              <w:t>3+</w:t>
            </w:r>
            <w:r w:rsidRPr="00FC0FBD">
              <w:rPr>
                <w:rFonts w:ascii="Times New Roman" w:hAnsi="Times New Roman" w:cs="Times New Roman"/>
              </w:rPr>
              <w:t>/V</w:t>
            </w:r>
            <w:r w:rsidRPr="00FC0FBD">
              <w:rPr>
                <w:rFonts w:ascii="Times New Roman" w:hAnsi="Times New Roman" w:cs="Times New Roman"/>
                <w:vertAlign w:val="superscript"/>
              </w:rPr>
              <w:t>4+</w:t>
            </w:r>
            <w:r w:rsidRPr="00FC0FBD">
              <w:rPr>
                <w:rFonts w:ascii="Times New Roman" w:hAnsi="Times New Roman" w:cs="Times New Roman"/>
              </w:rPr>
              <w:t>/V</w:t>
            </w:r>
            <w:r w:rsidRPr="00FC0FBD">
              <w:rPr>
                <w:rFonts w:ascii="Times New Roman" w:hAnsi="Times New Roman" w:cs="Times New Roman"/>
                <w:vertAlign w:val="superscript"/>
              </w:rPr>
              <w:t>5+</w:t>
            </w:r>
            <w:r w:rsidRPr="00FC0FBD">
              <w:rPr>
                <w:rFonts w:ascii="Times New Roman" w:hAnsi="Times New Roman" w:cs="Times New Roman"/>
              </w:rPr>
              <w:t xml:space="preserve"> multiple redox reactions of the NVO cathode in ZIBs. Compared to the NVO cathode, therefore, the P-NVO cathode offers higher discharge capacity, power capability and cycling stability; in particular, </w:t>
            </w:r>
            <w:proofErr w:type="spellStart"/>
            <w:r w:rsidRPr="00FC0FBD">
              <w:rPr>
                <w:rFonts w:ascii="Times New Roman" w:hAnsi="Times New Roman" w:cs="Times New Roman"/>
              </w:rPr>
              <w:t>PPy</w:t>
            </w:r>
            <w:proofErr w:type="spellEnd"/>
            <w:r w:rsidRPr="00FC0FBD">
              <w:rPr>
                <w:rFonts w:ascii="Times New Roman" w:hAnsi="Times New Roman" w:cs="Times New Roman"/>
              </w:rPr>
              <w:t xml:space="preserve"> coating triggers the full theoretical capacity of the NVO cathode (527 </w:t>
            </w:r>
            <w:proofErr w:type="spellStart"/>
            <w:r w:rsidRPr="00FC0FBD">
              <w:rPr>
                <w:rFonts w:ascii="Times New Roman" w:hAnsi="Times New Roman" w:cs="Times New Roman"/>
              </w:rPr>
              <w:t>mAh</w:t>
            </w:r>
            <w:proofErr w:type="spellEnd"/>
            <w:r w:rsidRPr="00FC0FBD">
              <w:rPr>
                <w:rFonts w:ascii="Times New Roman" w:hAnsi="Times New Roman" w:cs="Times New Roman"/>
              </w:rPr>
              <w:t xml:space="preserve"> g</w:t>
            </w:r>
            <w:r w:rsidRPr="00FC0FBD">
              <w:rPr>
                <w:rFonts w:ascii="Times New Roman" w:hAnsi="Times New Roman" w:cs="Times New Roman"/>
                <w:vertAlign w:val="superscript"/>
              </w:rPr>
              <w:t>−1</w:t>
            </w:r>
            <w:r w:rsidRPr="00FC0FBD">
              <w:rPr>
                <w:rFonts w:ascii="Times New Roman" w:hAnsi="Times New Roman" w:cs="Times New Roman"/>
              </w:rPr>
              <w:t> with </w:t>
            </w:r>
            <w:r w:rsidRPr="00FC0FBD">
              <w:rPr>
                <w:rFonts w:ascii="Cambria Math" w:hAnsi="Cambria Math" w:cs="Cambria Math"/>
              </w:rPr>
              <w:t>∼</w:t>
            </w:r>
            <w:r w:rsidRPr="00FC0FBD">
              <w:rPr>
                <w:rFonts w:ascii="Times New Roman" w:hAnsi="Times New Roman" w:cs="Times New Roman"/>
              </w:rPr>
              <w:t xml:space="preserve"> 3 mol Zn insertion per formula unit) and directly reflects a superior energy density of 408 </w:t>
            </w:r>
            <w:proofErr w:type="spellStart"/>
            <w:r w:rsidRPr="00FC0FBD">
              <w:rPr>
                <w:rFonts w:ascii="Times New Roman" w:hAnsi="Times New Roman" w:cs="Times New Roman"/>
              </w:rPr>
              <w:t>Wh</w:t>
            </w:r>
            <w:proofErr w:type="spellEnd"/>
            <w:r w:rsidRPr="00FC0FBD">
              <w:rPr>
                <w:rFonts w:ascii="Times New Roman" w:hAnsi="Times New Roman" w:cs="Times New Roman"/>
              </w:rPr>
              <w:t xml:space="preserve"> kg</w:t>
            </w:r>
            <w:r w:rsidRPr="00FC0FBD">
              <w:rPr>
                <w:rFonts w:ascii="Times New Roman" w:hAnsi="Times New Roman" w:cs="Times New Roman"/>
                <w:vertAlign w:val="superscript"/>
              </w:rPr>
              <w:t>−1</w:t>
            </w:r>
            <w:r w:rsidRPr="00FC0FBD">
              <w:rPr>
                <w:rFonts w:ascii="Times New Roman" w:hAnsi="Times New Roman" w:cs="Times New Roman"/>
              </w:rPr>
              <w:t>. Even at a high current density of 6000 mA g</w:t>
            </w:r>
            <w:r w:rsidRPr="00FC0FBD">
              <w:rPr>
                <w:rFonts w:ascii="Times New Roman" w:hAnsi="Times New Roman" w:cs="Times New Roman"/>
                <w:vertAlign w:val="superscript"/>
              </w:rPr>
              <w:t>−1</w:t>
            </w:r>
            <w:r w:rsidRPr="00FC0FBD">
              <w:rPr>
                <w:rFonts w:ascii="Times New Roman" w:hAnsi="Times New Roman" w:cs="Times New Roman"/>
              </w:rPr>
              <w:t>, the P-NVO cathode shows unprecedented cycling stability over 1100 cycles without capacity loss. Galvanostatic intermittent titration technique, cyclic voltammetry, </w:t>
            </w:r>
            <w:r w:rsidRPr="00FC0FBD">
              <w:rPr>
                <w:rFonts w:ascii="Times New Roman" w:hAnsi="Times New Roman" w:cs="Times New Roman"/>
                <w:i/>
                <w:iCs/>
              </w:rPr>
              <w:t>in situ</w:t>
            </w:r>
            <w:r w:rsidRPr="00FC0FBD">
              <w:rPr>
                <w:rFonts w:ascii="Times New Roman" w:hAnsi="Times New Roman" w:cs="Times New Roman"/>
              </w:rPr>
              <w:t> X-ray diffraction, and </w:t>
            </w:r>
            <w:r w:rsidRPr="00FC0FBD">
              <w:rPr>
                <w:rFonts w:ascii="Times New Roman" w:hAnsi="Times New Roman" w:cs="Times New Roman"/>
                <w:i/>
                <w:iCs/>
              </w:rPr>
              <w:t>ex situ</w:t>
            </w:r>
            <w:r w:rsidRPr="00FC0FBD">
              <w:rPr>
                <w:rFonts w:ascii="Times New Roman" w:hAnsi="Times New Roman" w:cs="Times New Roman"/>
              </w:rPr>
              <w:t> X-ray absorption near edge structure analyses are combined to verify the superior Zn storage mechanism of the P-NVO cathode.</w:t>
            </w:r>
          </w:p>
          <w:p w14:paraId="3B57D3C2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0A250AF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Manganese (Mn)-based cathode materials have garnered huge research</w:t>
            </w:r>
          </w:p>
          <w:p w14:paraId="6DFDEDE9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interest for rechargeable aqueous zinc-ion batteries (AZIBs) due to the</w:t>
            </w:r>
          </w:p>
          <w:p w14:paraId="419D0785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abundance and low cost of manganese and the plentiful advantages of</w:t>
            </w:r>
          </w:p>
          <w:p w14:paraId="403652B5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manganese oxides including their </w:t>
            </w: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dierent</w:t>
            </w:r>
            <w:proofErr w:type="spellEnd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 structures, wide range of phases,</w:t>
            </w:r>
          </w:p>
          <w:p w14:paraId="7F0FB7FA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and various stoichiometries. A novel in situ generated Mn-deﬁcient</w:t>
            </w:r>
          </w:p>
          <w:p w14:paraId="1911E3F0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ZnMn</w:t>
            </w:r>
            <w:proofErr w:type="spellEnd"/>
          </w:p>
          <w:p w14:paraId="5E623A3D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</w:t>
            </w:r>
          </w:p>
          <w:p w14:paraId="79611E02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O</w:t>
            </w:r>
          </w:p>
          <w:p w14:paraId="1DC9297E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</w:t>
            </w:r>
          </w:p>
          <w:p w14:paraId="49497681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@C (Mn-d-ZMO@C) nanoarchitecture cathode material from</w:t>
            </w:r>
          </w:p>
          <w:p w14:paraId="22540164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self-assembly of </w:t>
            </w: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ZnO-MnO@C</w:t>
            </w:r>
            <w:proofErr w:type="spellEnd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 for rechargeable AZIBs is reported. Analytical</w:t>
            </w:r>
          </w:p>
          <w:p w14:paraId="0BC61A98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techniques conﬁrm the porous and crystalline structure of </w:t>
            </w: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ZnO-MnO@C</w:t>
            </w:r>
            <w:proofErr w:type="spellEnd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 and</w:t>
            </w:r>
          </w:p>
          <w:p w14:paraId="49F6F4B6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pacing w:val="146"/>
                <w:sz w:val="58"/>
                <w:szCs w:val="58"/>
              </w:rPr>
            </w:pP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pacing w:val="146"/>
                <w:sz w:val="58"/>
                <w:szCs w:val="58"/>
              </w:rPr>
              <w:t>theinsitugrowthofMndeﬁcientZnMn</w:t>
            </w:r>
            <w:proofErr w:type="spellEnd"/>
          </w:p>
          <w:p w14:paraId="2216CC80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</w:t>
            </w:r>
          </w:p>
          <w:p w14:paraId="5FB010EE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O</w:t>
            </w:r>
          </w:p>
          <w:p w14:paraId="008670C7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</w:t>
            </w:r>
          </w:p>
          <w:p w14:paraId="40A12E80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@C. The Zn/Mn-d-ZMO@C cell</w:t>
            </w:r>
          </w:p>
          <w:p w14:paraId="0281C4CA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displays a promising capacity of  </w:t>
            </w: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mAh</w:t>
            </w:r>
            <w:proofErr w:type="spellEnd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 g</w:t>
            </w:r>
          </w:p>
          <w:p w14:paraId="4767219F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  <w:t>−</w:t>
            </w: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</w:t>
            </w:r>
          </w:p>
          <w:p w14:paraId="5A8198FE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at a current density of</w:t>
            </w:r>
          </w:p>
          <w:p w14:paraId="38D73D03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 mA g</w:t>
            </w:r>
          </w:p>
          <w:p w14:paraId="344C75C8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  <w:t>−</w:t>
            </w: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</w:t>
            </w:r>
          </w:p>
          <w:p w14:paraId="744F3D63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with % of capacity retained after  cycles (at  mA g</w:t>
            </w:r>
          </w:p>
          <w:p w14:paraId="1EF306F6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  <w:t>−</w:t>
            </w: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</w:t>
            </w:r>
          </w:p>
          <w:p w14:paraId="6C5ED8EA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rate). The improved performance of this cathode originates from in situ</w:t>
            </w:r>
          </w:p>
          <w:p w14:paraId="0DB48923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orientation, porosity, and carbon coating. Additionally, ﬁrst-principles</w:t>
            </w:r>
          </w:p>
          <w:p w14:paraId="61FDCE91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calculations conﬁrm the high electronic conductivity of Mn-d-ZMO@C</w:t>
            </w:r>
          </w:p>
          <w:p w14:paraId="60EA7C1F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cathode. Importantly, a good capacity retention (%) is obtained with a</w:t>
            </w:r>
          </w:p>
          <w:p w14:paraId="1EA89D3C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year-old cell (after  cycles) at  mA g</w:t>
            </w:r>
          </w:p>
          <w:p w14:paraId="45A4D6D2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  <w:t>−</w:t>
            </w: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</w:t>
            </w:r>
          </w:p>
          <w:p w14:paraId="5FD20FD4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current density. This study,</w:t>
            </w:r>
          </w:p>
          <w:p w14:paraId="18B6142E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therefore, indicates that the in situ grown Mn-d-ZMO@C nanoarchitecture</w:t>
            </w:r>
          </w:p>
          <w:p w14:paraId="1C30EC39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cathode is a promising material to prepare a durable AZIB</w:t>
            </w:r>
          </w:p>
          <w:p w14:paraId="75804317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Manganese (Mn)-based cathode materials have garnered huge research</w:t>
            </w:r>
          </w:p>
          <w:p w14:paraId="549AAD62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interest for rechargeable aqueous zinc-ion batteries (AZIBs) due to the</w:t>
            </w:r>
          </w:p>
          <w:p w14:paraId="4CFA7552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abundance and low cost of manganese and the plentiful advantages of</w:t>
            </w:r>
          </w:p>
          <w:p w14:paraId="3F73BA22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manganese oxides including their </w:t>
            </w: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dierent</w:t>
            </w:r>
            <w:proofErr w:type="spellEnd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 structures, wide range of phases,</w:t>
            </w:r>
          </w:p>
          <w:p w14:paraId="55B8810B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and various stoichiometries. A novel in situ generated Mn-deﬁcient</w:t>
            </w:r>
          </w:p>
          <w:p w14:paraId="223B62E8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ZnMn</w:t>
            </w:r>
            <w:proofErr w:type="spellEnd"/>
          </w:p>
          <w:p w14:paraId="5B4E24F0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</w:t>
            </w:r>
          </w:p>
          <w:p w14:paraId="5FEBF00A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O</w:t>
            </w:r>
          </w:p>
          <w:p w14:paraId="79649C33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</w:t>
            </w:r>
          </w:p>
          <w:p w14:paraId="23C9584D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@C (Mn-d-ZMO@C) nanoarchitecture cathode material from</w:t>
            </w:r>
          </w:p>
          <w:p w14:paraId="7E4D3A8A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self-assembly of </w:t>
            </w: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ZnO-MnO@C</w:t>
            </w:r>
            <w:proofErr w:type="spellEnd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 for rechargeable AZIBs is reported. Analytical</w:t>
            </w:r>
          </w:p>
          <w:p w14:paraId="73CBC5A7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techniques conﬁrm the porous and crystalline structure of </w:t>
            </w: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ZnO-MnO@C</w:t>
            </w:r>
            <w:proofErr w:type="spellEnd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 and</w:t>
            </w:r>
          </w:p>
          <w:p w14:paraId="6B6A8BE1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pacing w:val="146"/>
                <w:sz w:val="58"/>
                <w:szCs w:val="58"/>
              </w:rPr>
            </w:pP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pacing w:val="146"/>
                <w:sz w:val="58"/>
                <w:szCs w:val="58"/>
              </w:rPr>
              <w:t>theinsitugrowthofMndeﬁcientZnMn</w:t>
            </w:r>
            <w:proofErr w:type="spellEnd"/>
          </w:p>
          <w:p w14:paraId="71852C73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</w:t>
            </w:r>
          </w:p>
          <w:p w14:paraId="1D071F68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O</w:t>
            </w:r>
          </w:p>
          <w:p w14:paraId="354C945A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</w:t>
            </w:r>
          </w:p>
          <w:p w14:paraId="55E403AE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@C. The Zn/Mn-d-ZMO@C cell</w:t>
            </w:r>
          </w:p>
          <w:p w14:paraId="276E12E3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displays a promising capacity of  </w:t>
            </w: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mAh</w:t>
            </w:r>
            <w:proofErr w:type="spellEnd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 g</w:t>
            </w:r>
          </w:p>
          <w:p w14:paraId="44D75ECA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  <w:t>−</w:t>
            </w: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</w:t>
            </w:r>
          </w:p>
          <w:p w14:paraId="155C3A6F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at a current density of</w:t>
            </w:r>
          </w:p>
          <w:p w14:paraId="0E3A8001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 mA g</w:t>
            </w:r>
          </w:p>
          <w:p w14:paraId="754D6B5F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  <w:t>−</w:t>
            </w: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</w:t>
            </w:r>
          </w:p>
          <w:p w14:paraId="361D0084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with % of capacity retained after  cycles (at  mA g</w:t>
            </w:r>
          </w:p>
          <w:p w14:paraId="11A99C1A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  <w:t>−</w:t>
            </w: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</w:t>
            </w:r>
          </w:p>
          <w:p w14:paraId="32D6443F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rate). The improved performance of this cathode originates from in situ</w:t>
            </w:r>
          </w:p>
          <w:p w14:paraId="61050492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orientation, porosity, and carbon coating. Additionally, ﬁrst-principles</w:t>
            </w:r>
          </w:p>
          <w:p w14:paraId="188D2D28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calculations conﬁrm the high electronic conductivity of Mn-d-ZMO@C</w:t>
            </w:r>
          </w:p>
          <w:p w14:paraId="7B0A2262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cathode. Importantly, a good capacity retention (%) is obtained with a</w:t>
            </w:r>
          </w:p>
          <w:p w14:paraId="4ED5F50C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year-old cell (after  cycles) at  mA g</w:t>
            </w:r>
          </w:p>
          <w:p w14:paraId="0126B97C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  <w:t>−</w:t>
            </w: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</w:t>
            </w:r>
          </w:p>
          <w:p w14:paraId="45A681A5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current density. This study,</w:t>
            </w:r>
          </w:p>
          <w:p w14:paraId="1FC8683E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therefore, indicates that the in situ grown Mn-d-ZMO@C nanoarchitecture</w:t>
            </w:r>
          </w:p>
          <w:p w14:paraId="6653D489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cathode is a promising material to prepare a durable AZIB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E06C1" w14:textId="77777777" w:rsidR="00C42A7C" w:rsidRDefault="00C42A7C" w:rsidP="00C9238F">
      <w:pPr>
        <w:spacing w:after="0" w:line="240" w:lineRule="auto"/>
      </w:pPr>
      <w:r>
        <w:separator/>
      </w:r>
    </w:p>
  </w:endnote>
  <w:endnote w:type="continuationSeparator" w:id="0">
    <w:p w14:paraId="2C0DF2F1" w14:textId="77777777" w:rsidR="00C42A7C" w:rsidRDefault="00C42A7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919343-C7B3-4077-B8FE-B03A629177FC}"/>
    <w:embedBold r:id="rId2" w:fontKey="{C5034F4D-61A0-4291-B15F-B844AF41AC07}"/>
    <w:embedItalic r:id="rId3" w:fontKey="{E4372FF6-DA1F-489E-A353-17F65867C2B4}"/>
    <w:embedBoldItalic r:id="rId4" w:fontKey="{9E29075B-5E11-4A5F-AD7F-6EC64C0D33E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02FBA064-A764-4765-8586-4A0BDA289406}"/>
    <w:embedBold r:id="rId6" w:fontKey="{6FA4B6DD-0EAA-4CB1-B9CC-C20DF5CCE8FE}"/>
    <w:embedItalic r:id="rId7" w:fontKey="{637EE313-B4A0-45DF-B9A0-BE8C4171BD4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3E21DA9-CFC1-4EFE-BE11-2D0E991748F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22BA9B6-4018-458A-8B88-893FDC61DFB5}"/>
  </w:font>
  <w:font w:name="ff2">
    <w:altName w:val="Cambria"/>
    <w:panose1 w:val="00000000000000000000"/>
    <w:charset w:val="00"/>
    <w:family w:val="roman"/>
    <w:notTrueType/>
    <w:pitch w:val="default"/>
  </w:font>
  <w:font w:name="ff4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7FA74" w14:textId="77777777" w:rsidR="00C42A7C" w:rsidRDefault="00C42A7C" w:rsidP="00C9238F">
      <w:pPr>
        <w:spacing w:after="0" w:line="240" w:lineRule="auto"/>
      </w:pPr>
      <w:r>
        <w:separator/>
      </w:r>
    </w:p>
  </w:footnote>
  <w:footnote w:type="continuationSeparator" w:id="0">
    <w:p w14:paraId="49FD46D6" w14:textId="77777777" w:rsidR="00C42A7C" w:rsidRDefault="00C42A7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60053172">
    <w:abstractNumId w:val="12"/>
  </w:num>
  <w:num w:numId="2" w16cid:durableId="1218281065">
    <w:abstractNumId w:val="8"/>
  </w:num>
  <w:num w:numId="3" w16cid:durableId="1584492761">
    <w:abstractNumId w:val="16"/>
  </w:num>
  <w:num w:numId="4" w16cid:durableId="1038315791">
    <w:abstractNumId w:val="13"/>
  </w:num>
  <w:num w:numId="5" w16cid:durableId="261300267">
    <w:abstractNumId w:val="14"/>
  </w:num>
  <w:num w:numId="6" w16cid:durableId="1093356543">
    <w:abstractNumId w:val="20"/>
  </w:num>
  <w:num w:numId="7" w16cid:durableId="835191770">
    <w:abstractNumId w:val="7"/>
  </w:num>
  <w:num w:numId="8" w16cid:durableId="423303584">
    <w:abstractNumId w:val="11"/>
  </w:num>
  <w:num w:numId="9" w16cid:durableId="233011937">
    <w:abstractNumId w:val="18"/>
  </w:num>
  <w:num w:numId="10" w16cid:durableId="141042632">
    <w:abstractNumId w:val="2"/>
  </w:num>
  <w:num w:numId="11" w16cid:durableId="1808012746">
    <w:abstractNumId w:val="6"/>
  </w:num>
  <w:num w:numId="12" w16cid:durableId="1258363533">
    <w:abstractNumId w:val="1"/>
  </w:num>
  <w:num w:numId="13" w16cid:durableId="1017341905">
    <w:abstractNumId w:val="3"/>
  </w:num>
  <w:num w:numId="14" w16cid:durableId="1479372670">
    <w:abstractNumId w:val="10"/>
  </w:num>
  <w:num w:numId="15" w16cid:durableId="2025010751">
    <w:abstractNumId w:val="9"/>
  </w:num>
  <w:num w:numId="16" w16cid:durableId="1136528122">
    <w:abstractNumId w:val="17"/>
  </w:num>
  <w:num w:numId="17" w16cid:durableId="387143973">
    <w:abstractNumId w:val="4"/>
  </w:num>
  <w:num w:numId="18" w16cid:durableId="1257900656">
    <w:abstractNumId w:val="22"/>
  </w:num>
  <w:num w:numId="19" w16cid:durableId="1905094474">
    <w:abstractNumId w:val="19"/>
  </w:num>
  <w:num w:numId="20" w16cid:durableId="1078095781">
    <w:abstractNumId w:val="15"/>
  </w:num>
  <w:num w:numId="21" w16cid:durableId="1877157051">
    <w:abstractNumId w:val="21"/>
  </w:num>
  <w:num w:numId="22" w16cid:durableId="1822841056">
    <w:abstractNumId w:val="5"/>
  </w:num>
  <w:num w:numId="23" w16cid:durableId="2017265919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C56E6"/>
    <w:rsid w:val="002D3238"/>
    <w:rsid w:val="00361E11"/>
    <w:rsid w:val="003F0847"/>
    <w:rsid w:val="0040090B"/>
    <w:rsid w:val="00421017"/>
    <w:rsid w:val="0046302A"/>
    <w:rsid w:val="00487D2D"/>
    <w:rsid w:val="004D3A9E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4022A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924F8"/>
    <w:rsid w:val="009B60B2"/>
    <w:rsid w:val="009F619A"/>
    <w:rsid w:val="009F6DDE"/>
    <w:rsid w:val="009F77CA"/>
    <w:rsid w:val="00A1613A"/>
    <w:rsid w:val="00A370A8"/>
    <w:rsid w:val="00A82A33"/>
    <w:rsid w:val="00AF6BFE"/>
    <w:rsid w:val="00B511BB"/>
    <w:rsid w:val="00BC6682"/>
    <w:rsid w:val="00BD4753"/>
    <w:rsid w:val="00BD5CB1"/>
    <w:rsid w:val="00BE62EE"/>
    <w:rsid w:val="00C003BA"/>
    <w:rsid w:val="00C26236"/>
    <w:rsid w:val="00C26D05"/>
    <w:rsid w:val="00C333A6"/>
    <w:rsid w:val="00C42A7C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84A8C"/>
    <w:rsid w:val="00EB3B58"/>
    <w:rsid w:val="00EC7359"/>
    <w:rsid w:val="00EE3054"/>
    <w:rsid w:val="00F00606"/>
    <w:rsid w:val="00F01256"/>
    <w:rsid w:val="00F6558E"/>
    <w:rsid w:val="00FC0FBD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a">
    <w:name w:val="_"/>
    <w:basedOn w:val="DefaultParagraphFont"/>
    <w:rsid w:val="009B60B2"/>
  </w:style>
  <w:style w:type="character" w:customStyle="1" w:styleId="ff2">
    <w:name w:val="ff2"/>
    <w:basedOn w:val="DefaultParagraphFont"/>
    <w:rsid w:val="009B6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4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3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7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6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i.org/10.1016/j.cej.2022.137069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016/j.cej.2022.137069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2022-06-16T04:04:00Z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